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5AD" w:rsidRPr="003605AD" w:rsidRDefault="003605AD" w:rsidP="003605AD">
      <w:pPr>
        <w:ind w:left="1701" w:right="2835"/>
        <w:jc w:val="both"/>
        <w:rPr>
          <w:rFonts w:ascii="Trebuchet MS" w:hAnsi="Trebuchet MS" w:cs="Arial"/>
          <w:b/>
          <w:color w:val="000000"/>
          <w:sz w:val="22"/>
          <w:szCs w:val="22"/>
        </w:rPr>
      </w:pPr>
      <w:bookmarkStart w:id="0" w:name="_GoBack"/>
      <w:bookmarkEnd w:id="0"/>
      <w:r w:rsidRPr="003605AD">
        <w:rPr>
          <w:rFonts w:ascii="Trebuchet MS" w:hAnsi="Trebuchet MS" w:cs="Arial"/>
          <w:b/>
          <w:color w:val="000000"/>
          <w:sz w:val="22"/>
          <w:szCs w:val="22"/>
        </w:rPr>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ind w:left="1701" w:right="2835"/>
        <w:jc w:val="both"/>
        <w:rPr>
          <w:rFonts w:ascii="Trebuchet MS" w:hAnsi="Trebuchet MS" w:cs="Arial"/>
          <w:b/>
          <w:color w:val="000000"/>
          <w:sz w:val="22"/>
          <w:szCs w:val="22"/>
        </w:rPr>
      </w:pPr>
    </w:p>
    <w:p w:rsidR="003605AD" w:rsidRPr="003605AD" w:rsidRDefault="003605AD" w:rsidP="003605AD">
      <w:pPr>
        <w:suppressAutoHyphens/>
        <w:ind w:left="1701" w:right="2835"/>
        <w:jc w:val="both"/>
        <w:rPr>
          <w:rFonts w:ascii="Trebuchet MS" w:hAnsi="Trebuchet MS" w:cs="Arial"/>
          <w:b/>
          <w:caps/>
          <w:color w:val="000000"/>
          <w:sz w:val="22"/>
          <w:szCs w:val="22"/>
        </w:rPr>
      </w:pPr>
      <w:r w:rsidRPr="003605AD">
        <w:rPr>
          <w:rFonts w:ascii="Trebuchet MS" w:hAnsi="Trebuchet MS" w:cs="Arial"/>
          <w:b/>
          <w:color w:val="000000"/>
          <w:sz w:val="22"/>
          <w:szCs w:val="22"/>
        </w:rPr>
        <w:t>Relatório dos auditores independentes</w:t>
      </w:r>
    </w:p>
    <w:p w:rsidR="003605AD" w:rsidRPr="003605AD" w:rsidRDefault="003605AD" w:rsidP="003605AD">
      <w:pPr>
        <w:suppressAutoHyphens/>
        <w:ind w:left="1701" w:right="2835"/>
        <w:jc w:val="both"/>
        <w:rPr>
          <w:rFonts w:ascii="Trebuchet MS" w:hAnsi="Trebuchet MS" w:cs="Arial"/>
          <w:b/>
          <w:caps/>
          <w:color w:val="000000"/>
          <w:sz w:val="22"/>
          <w:szCs w:val="22"/>
        </w:rPr>
      </w:pPr>
    </w:p>
    <w:p w:rsidR="003605AD" w:rsidRPr="003605AD" w:rsidRDefault="003605AD" w:rsidP="003605AD">
      <w:pPr>
        <w:ind w:left="1701" w:right="2835"/>
        <w:jc w:val="both"/>
        <w:rPr>
          <w:rFonts w:ascii="Trebuchet MS" w:hAnsi="Trebuchet MS" w:cs="Arial"/>
          <w:b/>
          <w:color w:val="000000"/>
          <w:sz w:val="22"/>
          <w:szCs w:val="22"/>
        </w:rPr>
      </w:pPr>
      <w:bookmarkStart w:id="1" w:name="OLE_LINK11"/>
      <w:r w:rsidRPr="003605AD">
        <w:rPr>
          <w:rFonts w:ascii="Trebuchet MS" w:hAnsi="Trebuchet MS" w:cs="Arial"/>
          <w:b/>
          <w:color w:val="000000"/>
          <w:sz w:val="22"/>
          <w:szCs w:val="22"/>
        </w:rPr>
        <w:t xml:space="preserve">Demonstrações contábeis </w:t>
      </w:r>
    </w:p>
    <w:p w:rsidR="003605AD" w:rsidRPr="003605AD" w:rsidRDefault="003605AD" w:rsidP="003605AD">
      <w:pPr>
        <w:ind w:left="1701" w:right="2835"/>
        <w:jc w:val="both"/>
        <w:rPr>
          <w:rFonts w:ascii="Trebuchet MS" w:hAnsi="Trebuchet MS" w:cs="Arial"/>
          <w:color w:val="000000"/>
          <w:sz w:val="22"/>
          <w:szCs w:val="22"/>
        </w:rPr>
      </w:pPr>
      <w:r w:rsidRPr="003605AD">
        <w:rPr>
          <w:rFonts w:ascii="Trebuchet MS" w:hAnsi="Trebuchet MS" w:cs="Arial"/>
          <w:b/>
          <w:color w:val="000000"/>
          <w:sz w:val="22"/>
          <w:szCs w:val="22"/>
        </w:rPr>
        <w:t>Em 31 de dezembro de 20</w:t>
      </w:r>
      <w:r w:rsidRPr="003605AD">
        <w:rPr>
          <w:rFonts w:ascii="Trebuchet MS" w:hAnsi="Trebuchet MS" w:cs="Arial"/>
          <w:b/>
          <w:caps/>
          <w:color w:val="000000"/>
          <w:sz w:val="22"/>
          <w:szCs w:val="22"/>
        </w:rPr>
        <w:t xml:space="preserve">18 </w:t>
      </w:r>
      <w:r w:rsidRPr="003605AD">
        <w:rPr>
          <w:rFonts w:ascii="Trebuchet MS" w:hAnsi="Trebuchet MS" w:cs="Arial"/>
          <w:b/>
          <w:color w:val="000000"/>
          <w:sz w:val="22"/>
          <w:szCs w:val="22"/>
        </w:rPr>
        <w:t>e</w:t>
      </w:r>
      <w:r w:rsidRPr="003605AD">
        <w:rPr>
          <w:rFonts w:ascii="Trebuchet MS" w:hAnsi="Trebuchet MS" w:cs="Arial"/>
          <w:b/>
          <w:caps/>
          <w:color w:val="000000"/>
          <w:sz w:val="22"/>
          <w:szCs w:val="22"/>
        </w:rPr>
        <w:t xml:space="preserve"> 2017 </w:t>
      </w:r>
      <w:bookmarkEnd w:id="1"/>
    </w:p>
    <w:p w:rsidR="003605AD" w:rsidRPr="003605AD" w:rsidRDefault="003605AD" w:rsidP="003605AD">
      <w:pPr>
        <w:ind w:left="1418" w:right="2268"/>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sectPr w:rsidR="003605AD" w:rsidRPr="003605AD" w:rsidSect="00D54B6F">
          <w:headerReference w:type="default" r:id="rId9"/>
          <w:footerReference w:type="even" r:id="rId10"/>
          <w:footerReference w:type="first" r:id="rId11"/>
          <w:pgSz w:w="11907" w:h="16840" w:code="9"/>
          <w:pgMar w:top="2552" w:right="1134" w:bottom="1134" w:left="1701" w:header="567" w:footer="567" w:gutter="0"/>
          <w:pgNumType w:start="2"/>
          <w:cols w:space="720"/>
          <w:docGrid w:linePitch="360"/>
        </w:sectPr>
      </w:pPr>
    </w:p>
    <w:p w:rsidR="003605AD" w:rsidRPr="003605AD" w:rsidRDefault="003605AD" w:rsidP="003605AD">
      <w:pPr>
        <w:rPr>
          <w:rFonts w:ascii="Trebuchet MS" w:hAnsi="Trebuchet MS" w:cs="Arial"/>
          <w:b/>
          <w:color w:val="000000"/>
          <w:sz w:val="22"/>
          <w:szCs w:val="22"/>
        </w:rPr>
      </w:pPr>
      <w:r w:rsidRPr="003605AD">
        <w:rPr>
          <w:rFonts w:ascii="Trebuchet MS" w:hAnsi="Trebuchet MS" w:cs="Arial"/>
          <w:b/>
          <w:color w:val="000000"/>
          <w:sz w:val="22"/>
          <w:szCs w:val="22"/>
        </w:rPr>
        <w:lastRenderedPageBreak/>
        <w:t>Conselho de Arquitetura e Urbanismo d</w:t>
      </w:r>
      <w:r w:rsidR="00EF4702">
        <w:rPr>
          <w:rFonts w:ascii="Trebuchet MS" w:hAnsi="Trebuchet MS" w:cs="Arial"/>
          <w:b/>
          <w:color w:val="000000"/>
          <w:sz w:val="22"/>
          <w:szCs w:val="22"/>
        </w:rPr>
        <w:t>o</w:t>
      </w:r>
      <w:r w:rsidRPr="003605AD">
        <w:rPr>
          <w:rFonts w:ascii="Trebuchet MS" w:hAnsi="Trebuchet MS" w:cs="Arial"/>
          <w:b/>
          <w:color w:val="000000"/>
          <w:sz w:val="22"/>
          <w:szCs w:val="22"/>
        </w:rPr>
        <w:t xml:space="preserve"> </w:t>
      </w:r>
      <w:r w:rsidR="00EF4702">
        <w:rPr>
          <w:rFonts w:ascii="Trebuchet MS" w:hAnsi="Trebuchet MS" w:cs="Arial"/>
          <w:b/>
          <w:color w:val="000000"/>
          <w:sz w:val="22"/>
          <w:szCs w:val="22"/>
        </w:rPr>
        <w:t>Rio Grande do Sul</w:t>
      </w:r>
      <w:r w:rsidRPr="003605AD">
        <w:rPr>
          <w:rFonts w:ascii="Trebuchet MS" w:hAnsi="Trebuchet MS" w:cs="Arial"/>
          <w:b/>
          <w:color w:val="000000"/>
          <w:sz w:val="22"/>
          <w:szCs w:val="22"/>
        </w:rPr>
        <w:t xml:space="preserve"> – CAU/</w:t>
      </w:r>
      <w:r w:rsidR="00EF4702">
        <w:rPr>
          <w:rFonts w:ascii="Trebuchet MS" w:hAnsi="Trebuchet MS" w:cs="Arial"/>
          <w:b/>
          <w:color w:val="000000"/>
          <w:sz w:val="22"/>
          <w:szCs w:val="22"/>
        </w:rPr>
        <w:t>RS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Demonstrações contábeis</w:t>
      </w: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Referentes aos exercícios findos em 31 de dezembro de 2018 e 2017</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Conteúdo</w:t>
      </w: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Relatório dos auditores independentes sobre as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patrimonial</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financeiro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Balanço orçamentário</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das variações patrimoniais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Demonstração dos fluxos de caixa</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r w:rsidRPr="003605AD">
        <w:rPr>
          <w:rFonts w:ascii="Trebuchet MS" w:hAnsi="Trebuchet MS" w:cs="Arial"/>
          <w:b/>
          <w:color w:val="000000"/>
          <w:sz w:val="22"/>
          <w:szCs w:val="22"/>
        </w:rPr>
        <w:t>Notas explicativas da Administração às demonstrações contábeis</w:t>
      </w: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pPr>
    </w:p>
    <w:p w:rsidR="003605AD" w:rsidRPr="003605AD" w:rsidRDefault="003605AD" w:rsidP="003605AD">
      <w:pPr>
        <w:suppressAutoHyphens/>
        <w:rPr>
          <w:rFonts w:ascii="Trebuchet MS" w:hAnsi="Trebuchet MS" w:cs="Arial"/>
          <w:b/>
          <w:color w:val="000000"/>
          <w:sz w:val="22"/>
          <w:szCs w:val="22"/>
        </w:rPr>
        <w:sectPr w:rsidR="003605AD" w:rsidRPr="003605AD" w:rsidSect="00D54B6F">
          <w:headerReference w:type="even" r:id="rId12"/>
          <w:headerReference w:type="default" r:id="rId13"/>
          <w:footerReference w:type="default" r:id="rId14"/>
          <w:headerReference w:type="first" r:id="rId15"/>
          <w:footerReference w:type="first" r:id="rId16"/>
          <w:type w:val="nextColumn"/>
          <w:pgSz w:w="11907" w:h="16840" w:code="9"/>
          <w:pgMar w:top="2552" w:right="1134" w:bottom="1134" w:left="1701" w:header="567" w:footer="567" w:gutter="0"/>
          <w:pgNumType w:start="2"/>
          <w:cols w:space="720"/>
          <w:titlePg/>
        </w:sectPr>
      </w:pPr>
    </w:p>
    <w:p w:rsidR="003605AD" w:rsidRPr="003605AD" w:rsidRDefault="003605AD" w:rsidP="003605AD">
      <w:pPr>
        <w:jc w:val="both"/>
        <w:rPr>
          <w:rFonts w:ascii="Trebuchet MS" w:hAnsi="Trebuchet MS" w:cs="Arial"/>
          <w:b/>
          <w:color w:val="000000"/>
          <w:sz w:val="22"/>
          <w:szCs w:val="22"/>
        </w:rPr>
      </w:pPr>
      <w:r w:rsidRPr="003605AD">
        <w:rPr>
          <w:rFonts w:ascii="Trebuchet MS" w:hAnsi="Trebuchet MS" w:cs="Arial"/>
          <w:b/>
          <w:color w:val="000000"/>
          <w:sz w:val="22"/>
          <w:szCs w:val="22"/>
        </w:rPr>
        <w:lastRenderedPageBreak/>
        <w:t>RELATÓRIO DOS AUDITORES INDEPENDENTES SOBRE AS DEMONSTRAÇÕES CONTÁBEIS</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color w:val="000000"/>
          <w:sz w:val="22"/>
          <w:szCs w:val="22"/>
        </w:rPr>
      </w:pPr>
      <w:r w:rsidRPr="003605AD">
        <w:rPr>
          <w:rFonts w:ascii="Trebuchet MS" w:hAnsi="Trebuchet MS" w:cs="Arial"/>
          <w:b/>
          <w:color w:val="000000"/>
          <w:sz w:val="22"/>
          <w:szCs w:val="22"/>
        </w:rPr>
        <w:t xml:space="preserve">OBS: </w:t>
      </w:r>
      <w:r w:rsidRPr="003605AD">
        <w:rPr>
          <w:rFonts w:ascii="Trebuchet MS" w:hAnsi="Trebuchet MS" w:cs="Arial"/>
          <w:color w:val="000000"/>
          <w:sz w:val="22"/>
          <w:szCs w:val="22"/>
        </w:rPr>
        <w:t>O relatório será incluído oportunamente, entretanto os modelos podem ser consultados por meio da NBCTA 700 do Conselho Federal de Contabilidade.</w:t>
      </w:r>
    </w:p>
    <w:p w:rsidR="003605AD" w:rsidRPr="003605AD" w:rsidRDefault="003605AD" w:rsidP="003605AD">
      <w:pPr>
        <w:suppressAutoHyphens/>
        <w:jc w:val="both"/>
        <w:rPr>
          <w:rFonts w:ascii="Trebuchet MS" w:hAnsi="Trebuchet MS" w:cs="Arial"/>
          <w:b/>
          <w:color w:val="000000"/>
          <w:sz w:val="22"/>
          <w:szCs w:val="22"/>
        </w:rPr>
      </w:pPr>
    </w:p>
    <w:p w:rsidR="003605AD" w:rsidRPr="003605AD" w:rsidRDefault="003605AD" w:rsidP="003605AD">
      <w:pPr>
        <w:suppressAutoHyphens/>
        <w:jc w:val="both"/>
        <w:rPr>
          <w:rFonts w:ascii="Trebuchet MS" w:hAnsi="Trebuchet MS" w:cs="Arial"/>
          <w:b/>
          <w:color w:val="000000"/>
          <w:sz w:val="22"/>
          <w:szCs w:val="22"/>
        </w:rPr>
      </w:pPr>
      <w:r w:rsidRPr="003605AD">
        <w:rPr>
          <w:rFonts w:ascii="Trebuchet MS" w:hAnsi="Trebuchet MS" w:cs="Arial"/>
          <w:b/>
          <w:color w:val="000000"/>
          <w:sz w:val="22"/>
          <w:szCs w:val="22"/>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Package" ShapeID="_x0000_i1025" DrawAspect="Icon" ObjectID="_1658753051" r:id="rId18"/>
        </w:object>
      </w:r>
    </w:p>
    <w:p w:rsidR="003605AD" w:rsidRPr="003605AD" w:rsidRDefault="003605AD" w:rsidP="003605AD">
      <w:pPr>
        <w:tabs>
          <w:tab w:val="left" w:pos="1530"/>
        </w:tabs>
        <w:suppressAutoHyphen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pPr>
    </w:p>
    <w:p w:rsidR="003605AD" w:rsidRPr="003605AD" w:rsidRDefault="003605AD" w:rsidP="003605AD">
      <w:pPr>
        <w:autoSpaceDE w:val="0"/>
        <w:autoSpaceDN w:val="0"/>
        <w:adjustRightInd w:val="0"/>
        <w:rPr>
          <w:rFonts w:ascii="Trebuchet MS" w:hAnsi="Trebuchet MS" w:cs="Arial"/>
          <w:b/>
          <w:bCs/>
          <w:color w:val="000000"/>
          <w:sz w:val="22"/>
          <w:szCs w:val="22"/>
          <w:lang w:eastAsia="pt-BR"/>
        </w:rPr>
        <w:sectPr w:rsidR="003605AD" w:rsidRPr="003605AD" w:rsidSect="00D54B6F">
          <w:headerReference w:type="default" r:id="rId19"/>
          <w:footerReference w:type="default" r:id="rId20"/>
          <w:type w:val="nextColumn"/>
          <w:pgSz w:w="11907" w:h="16840" w:code="9"/>
          <w:pgMar w:top="2552" w:right="1134" w:bottom="1134" w:left="1701" w:header="567" w:footer="567" w:gutter="0"/>
          <w:pgNumType w:start="6"/>
          <w:cols w:space="720"/>
        </w:sect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s="Arial"/>
          <w:color w:val="000000"/>
          <w:szCs w:val="22"/>
        </w:rPr>
      </w:pPr>
      <w:r w:rsidRPr="003605AD">
        <w:rPr>
          <w:rFonts w:ascii="Trebuchet MS" w:hAnsi="Trebuchet MS" w:cs="Arial"/>
          <w:color w:val="000000"/>
          <w:szCs w:val="22"/>
        </w:rPr>
        <w:t>1.</w:t>
      </w:r>
      <w:r w:rsidRPr="003605AD">
        <w:rPr>
          <w:rFonts w:ascii="Trebuchet MS" w:hAnsi="Trebuchet MS" w:cs="Arial"/>
          <w:color w:val="000000"/>
          <w:szCs w:val="22"/>
        </w:rPr>
        <w:tab/>
      </w:r>
      <w:r w:rsidRPr="003605AD">
        <w:rPr>
          <w:rFonts w:ascii="Trebuchet MS" w:hAnsi="Trebuchet MS" w:cs="Arial"/>
          <w:caps w:val="0"/>
          <w:color w:val="000000"/>
          <w:szCs w:val="22"/>
        </w:rPr>
        <w:t>Informações gerais</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de Arquitetura e Urbanismo d</w:t>
      </w:r>
      <w:r w:rsidR="00EF4702">
        <w:rPr>
          <w:rFonts w:ascii="Trebuchet MS" w:hAnsi="Trebuchet MS" w:cs="Arial"/>
          <w:color w:val="000000"/>
          <w:sz w:val="22"/>
          <w:szCs w:val="22"/>
        </w:rPr>
        <w:t>o</w:t>
      </w:r>
      <w:r w:rsidRPr="003605AD">
        <w:rPr>
          <w:rFonts w:ascii="Trebuchet MS" w:hAnsi="Trebuchet MS" w:cs="Arial"/>
          <w:color w:val="000000"/>
          <w:sz w:val="22"/>
          <w:szCs w:val="22"/>
        </w:rPr>
        <w:t xml:space="preserve"> </w:t>
      </w:r>
      <w:r w:rsidR="00EF4702">
        <w:rPr>
          <w:rFonts w:ascii="Trebuchet MS" w:hAnsi="Trebuchet MS" w:cs="Arial"/>
          <w:color w:val="000000"/>
          <w:sz w:val="22"/>
          <w:szCs w:val="22"/>
        </w:rPr>
        <w:t>Rio Grande do Sul</w:t>
      </w:r>
      <w:r w:rsidRPr="003605AD">
        <w:rPr>
          <w:rFonts w:ascii="Trebuchet MS" w:hAnsi="Trebuchet MS" w:cs="Arial"/>
          <w:color w:val="000000"/>
          <w:sz w:val="22"/>
          <w:szCs w:val="22"/>
        </w:rPr>
        <w:t xml:space="preserve"> – CAU/</w:t>
      </w:r>
      <w:r w:rsidR="00EF4702">
        <w:rPr>
          <w:rFonts w:ascii="Trebuchet MS" w:hAnsi="Trebuchet MS" w:cs="Arial"/>
          <w:color w:val="000000"/>
          <w:sz w:val="22"/>
          <w:szCs w:val="22"/>
        </w:rPr>
        <w:t>RS</w:t>
      </w:r>
      <w:r w:rsidRPr="003605AD">
        <w:rPr>
          <w:rFonts w:ascii="Trebuchet MS" w:hAnsi="Trebuchet MS" w:cs="Arial"/>
          <w:color w:val="000000"/>
          <w:sz w:val="22"/>
          <w:szCs w:val="22"/>
        </w:rPr>
        <w:t>, criado pela Lei nº 12.378/2010 tendo como principais atividades orientar, disciplinar e fiscalizar o exercício da profissão de arquitetura e urbanismo.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CAU/</w:t>
      </w:r>
      <w:r w:rsidR="00EF4702">
        <w:rPr>
          <w:rFonts w:ascii="Trebuchet MS" w:hAnsi="Trebuchet MS" w:cs="Arial"/>
          <w:color w:val="000000"/>
          <w:sz w:val="22"/>
          <w:szCs w:val="22"/>
        </w:rPr>
        <w:t>RS</w:t>
      </w:r>
      <w:r w:rsidRPr="003605AD">
        <w:rPr>
          <w:rFonts w:ascii="Trebuchet MS" w:hAnsi="Trebuchet MS" w:cs="Arial"/>
          <w:color w:val="000000"/>
          <w:sz w:val="22"/>
          <w:szCs w:val="22"/>
        </w:rPr>
        <w:t xml:space="preserve"> é uma autarquia vinculada à Administração Indireta dotada de personalidade jurídica de direito público, com autonomia administrativa e financeira, cujas atividades são custeadas exclusivamente pelas próprias rendas, tendo sua estrutura e organização, estabelecidos no Regimento Geral do CAU aprovado pela Resolução CAU/BR nº 139/2017 e </w:t>
      </w:r>
      <w:r w:rsidRPr="00EF4702">
        <w:rPr>
          <w:rFonts w:ascii="Trebuchet MS" w:hAnsi="Trebuchet MS" w:cs="Arial"/>
          <w:color w:val="000000"/>
          <w:sz w:val="22"/>
          <w:szCs w:val="22"/>
        </w:rPr>
        <w:t>Regimento Interno do CAU/</w:t>
      </w:r>
      <w:r w:rsidR="00EF4702" w:rsidRPr="00EF4702">
        <w:rPr>
          <w:rFonts w:ascii="Trebuchet MS" w:hAnsi="Trebuchet MS" w:cs="Arial"/>
          <w:color w:val="000000"/>
          <w:sz w:val="22"/>
          <w:szCs w:val="22"/>
        </w:rPr>
        <w:t>RS</w:t>
      </w:r>
      <w:r w:rsidRPr="003605AD">
        <w:rPr>
          <w:rFonts w:ascii="Trebuchet MS" w:hAnsi="Trebuchet MS" w:cs="Arial"/>
          <w:color w:val="000000"/>
          <w:sz w:val="22"/>
          <w:szCs w:val="22"/>
        </w:rPr>
        <w:t>.</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 Conselho está</w:t>
      </w:r>
      <w:r w:rsidR="00EF4702">
        <w:rPr>
          <w:rFonts w:ascii="Trebuchet MS" w:hAnsi="Trebuchet MS" w:cs="Arial"/>
          <w:color w:val="000000"/>
          <w:sz w:val="22"/>
          <w:szCs w:val="22"/>
        </w:rPr>
        <w:t xml:space="preserve"> localizado na rua Dona Laura 320, 14º andar, Porto Alegre/RS</w:t>
      </w:r>
      <w:r w:rsidRPr="003605AD">
        <w:rPr>
          <w:rFonts w:ascii="Trebuchet MS" w:hAnsi="Trebuchet MS" w:cs="Arial"/>
          <w:color w:val="000000"/>
          <w:sz w:val="22"/>
          <w:szCs w:val="22"/>
        </w:rPr>
        <w:t>.</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emissão destas demonstrações financeiras foi autorizada pela Diretoria em </w:t>
      </w:r>
      <w:r w:rsidR="00EF4702">
        <w:rPr>
          <w:rFonts w:ascii="Trebuchet MS" w:hAnsi="Trebuchet MS" w:cs="Arial"/>
          <w:color w:val="000000"/>
          <w:sz w:val="22"/>
          <w:szCs w:val="22"/>
        </w:rPr>
        <w:t>28</w:t>
      </w:r>
      <w:r w:rsidRPr="003605AD">
        <w:rPr>
          <w:rFonts w:ascii="Trebuchet MS" w:hAnsi="Trebuchet MS" w:cs="Arial"/>
          <w:color w:val="000000"/>
          <w:sz w:val="22"/>
          <w:szCs w:val="22"/>
        </w:rPr>
        <w:t xml:space="preserve"> de </w:t>
      </w:r>
      <w:r w:rsidR="00EF4702">
        <w:rPr>
          <w:rFonts w:ascii="Trebuchet MS" w:hAnsi="Trebuchet MS" w:cs="Arial"/>
          <w:color w:val="000000"/>
          <w:sz w:val="22"/>
          <w:szCs w:val="22"/>
        </w:rPr>
        <w:t>fevereiro</w:t>
      </w:r>
      <w:r w:rsidRPr="003605AD">
        <w:rPr>
          <w:rFonts w:ascii="Trebuchet MS" w:hAnsi="Trebuchet MS" w:cs="Arial"/>
          <w:color w:val="000000"/>
          <w:sz w:val="22"/>
          <w:szCs w:val="22"/>
        </w:rPr>
        <w:t xml:space="preserve"> de 2019.</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2.</w:t>
      </w:r>
      <w:r w:rsidRPr="003605AD">
        <w:rPr>
          <w:rFonts w:ascii="Trebuchet MS" w:hAnsi="Trebuchet MS"/>
          <w:color w:val="000000"/>
          <w:szCs w:val="22"/>
        </w:rPr>
        <w:tab/>
      </w:r>
      <w:r w:rsidRPr="003605AD">
        <w:rPr>
          <w:rFonts w:ascii="Trebuchet MS" w:hAnsi="Trebuchet MS"/>
          <w:caps w:val="0"/>
          <w:color w:val="000000"/>
          <w:szCs w:val="22"/>
        </w:rPr>
        <w:t>Apresentação das demonstrações contábeis</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2.1.</w:t>
      </w:r>
      <w:r w:rsidRPr="003605AD">
        <w:rPr>
          <w:rFonts w:ascii="Trebuchet MS" w:hAnsi="Trebuchet MS" w:cs="Arial"/>
          <w:b/>
          <w:bCs/>
          <w:color w:val="000000"/>
          <w:sz w:val="22"/>
          <w:szCs w:val="22"/>
        </w:rPr>
        <w:tab/>
        <w:t xml:space="preserve">Base de preparação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elaboradas de acordo com as práticas contábeis adotadas no Brasil (BRGAAP), abrangendo as normas brasileiras de contabilidade aplicáveis ao setor público, principalmente a NBC T 16.6 (R1) – Demonstrações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Reais, que também é a moeda funcional da Entidade.</w:t>
      </w:r>
    </w:p>
    <w:p w:rsidR="003605AD" w:rsidRPr="003605AD" w:rsidRDefault="003605AD" w:rsidP="003605AD">
      <w:pPr>
        <w:widowControl w:val="0"/>
        <w:tabs>
          <w:tab w:val="left" w:pos="2688"/>
        </w:tabs>
        <w:spacing w:line="216" w:lineRule="auto"/>
        <w:rPr>
          <w:rFonts w:ascii="Trebuchet MS" w:hAnsi="Trebuchet MS" w:cs="Arial"/>
          <w:snapToGrid w:val="0"/>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2.2.</w:t>
      </w:r>
      <w:r w:rsidRPr="003605AD">
        <w:rPr>
          <w:rFonts w:ascii="Trebuchet MS" w:hAnsi="Trebuchet MS" w:cs="Arial"/>
          <w:b/>
          <w:bCs/>
          <w:color w:val="000000"/>
          <w:sz w:val="22"/>
          <w:szCs w:val="22"/>
        </w:rPr>
        <w:tab/>
        <w:t>Base de mensuração</w:t>
      </w:r>
    </w:p>
    <w:p w:rsidR="003605AD" w:rsidRPr="003605AD" w:rsidRDefault="003605AD" w:rsidP="003605AD">
      <w:pPr>
        <w:tabs>
          <w:tab w:val="left" w:pos="2688"/>
        </w:tabs>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foram preparadas com base no custo histórico, com exceção dos seguintes itens:</w:t>
      </w:r>
    </w:p>
    <w:p w:rsidR="003605AD" w:rsidRPr="003605AD" w:rsidRDefault="003605AD" w:rsidP="003605AD">
      <w:pPr>
        <w:tabs>
          <w:tab w:val="left" w:pos="1352"/>
        </w:tabs>
        <w:jc w:val="both"/>
        <w:rPr>
          <w:rFonts w:ascii="Trebuchet MS" w:hAnsi="Trebuchet MS" w:cs="Arial"/>
          <w:color w:val="000000"/>
          <w:sz w:val="22"/>
          <w:szCs w:val="22"/>
        </w:rPr>
      </w:pPr>
      <w:r w:rsidRPr="003605AD">
        <w:rPr>
          <w:rFonts w:ascii="Trebuchet MS" w:hAnsi="Trebuchet MS" w:cs="Arial"/>
          <w:color w:val="000000"/>
          <w:sz w:val="22"/>
          <w:szCs w:val="22"/>
        </w:rPr>
        <w:tab/>
      </w: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férias de empregados/funcionários;</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 xml:space="preserve">Depreciações e amortizações do ativo imobilizado e intangível; </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Provisões para contingências, sempre que constituídas; e</w:t>
      </w:r>
    </w:p>
    <w:p w:rsidR="003605AD" w:rsidRPr="003605AD" w:rsidRDefault="003605AD" w:rsidP="003605AD">
      <w:pPr>
        <w:pStyle w:val="PargrafodaLista"/>
        <w:rPr>
          <w:rFonts w:ascii="Trebuchet MS" w:hAnsi="Trebuchet MS" w:cs="Arial"/>
          <w:color w:val="000000"/>
        </w:rPr>
      </w:pPr>
    </w:p>
    <w:p w:rsidR="003605AD" w:rsidRPr="003605AD" w:rsidRDefault="003605AD" w:rsidP="003605AD">
      <w:pPr>
        <w:pStyle w:val="PargrafodaLista"/>
        <w:numPr>
          <w:ilvl w:val="0"/>
          <w:numId w:val="7"/>
        </w:numPr>
        <w:ind w:left="1276" w:hanging="283"/>
        <w:jc w:val="both"/>
        <w:rPr>
          <w:rFonts w:ascii="Trebuchet MS" w:hAnsi="Trebuchet MS" w:cs="Arial"/>
          <w:color w:val="000000"/>
        </w:rPr>
      </w:pPr>
      <w:r w:rsidRPr="003605AD">
        <w:rPr>
          <w:rFonts w:ascii="Trebuchet MS" w:hAnsi="Trebuchet MS" w:cs="Arial"/>
          <w:color w:val="000000"/>
        </w:rPr>
        <w:t>Provisão para devedores duvidosos, sempre que constituída;</w:t>
      </w:r>
    </w:p>
    <w:p w:rsidR="003605AD" w:rsidRPr="003605AD" w:rsidRDefault="003605AD" w:rsidP="003605AD">
      <w:pPr>
        <w:pStyle w:val="PargrafodaLista"/>
        <w:ind w:left="1276"/>
        <w:jc w:val="both"/>
        <w:rPr>
          <w:rFonts w:ascii="Trebuchet MS" w:hAnsi="Trebuchet MS" w:cs="Arial"/>
          <w:color w:val="000000"/>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2.3.</w:t>
      </w:r>
      <w:r w:rsidRPr="003605AD">
        <w:rPr>
          <w:rFonts w:ascii="Trebuchet MS" w:hAnsi="Trebuchet MS" w:cs="Arial"/>
          <w:b/>
          <w:bCs/>
          <w:color w:val="000000"/>
          <w:sz w:val="22"/>
          <w:szCs w:val="22"/>
        </w:rPr>
        <w:tab/>
        <w:t xml:space="preserve">Moeda funcional e moeda de apresentação </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As demonstrações contábeis estão apresentadas em Real, que é a moeda funcional da Entidade, sendo que os valores foram arredondados, de forma comparativa com as demonstrações contábeis do exercício anterior.</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r w:rsidRPr="003605AD">
        <w:rPr>
          <w:rFonts w:ascii="Trebuchet MS" w:hAnsi="Trebuchet MS" w:cs="Arial"/>
          <w:b/>
          <w:bCs/>
          <w:color w:val="000000"/>
          <w:sz w:val="22"/>
          <w:szCs w:val="22"/>
        </w:rPr>
        <w:br w:type="page"/>
        <w:t>2.4.</w:t>
      </w:r>
      <w:r w:rsidRPr="003605AD">
        <w:rPr>
          <w:rFonts w:ascii="Trebuchet MS" w:hAnsi="Trebuchet MS" w:cs="Arial"/>
          <w:b/>
          <w:bCs/>
          <w:color w:val="000000"/>
          <w:sz w:val="22"/>
          <w:szCs w:val="22"/>
        </w:rPr>
        <w:tab/>
        <w:t xml:space="preserve">Uso de estimativas e julgamentos </w:t>
      </w:r>
    </w:p>
    <w:p w:rsidR="003605AD" w:rsidRPr="003605AD" w:rsidRDefault="003605AD" w:rsidP="003605AD">
      <w:pPr>
        <w:ind w:left="993"/>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Os resultados reais podem divergir dessas estimativas. Ativos e passivos significativos sujeitos a estimativas e premissas incluem, principalmente, o cálculo das depreciações sobre o ativo imobilizado (</w:t>
      </w:r>
      <w:r w:rsidRPr="003605AD">
        <w:rPr>
          <w:rFonts w:ascii="Trebuchet MS" w:hAnsi="Trebuchet MS" w:cs="Arial"/>
          <w:i/>
          <w:color w:val="000000"/>
          <w:sz w:val="22"/>
          <w:szCs w:val="22"/>
        </w:rPr>
        <w:t>Nota 3.4</w:t>
      </w:r>
      <w:r w:rsidRPr="003605AD">
        <w:rPr>
          <w:rFonts w:ascii="Trebuchet MS" w:hAnsi="Trebuchet MS" w:cs="Arial"/>
          <w:color w:val="000000"/>
          <w:sz w:val="22"/>
          <w:szCs w:val="22"/>
        </w:rPr>
        <w:t>), a estimativa para perdas em função do risco de crédito de contribuintes (</w:t>
      </w:r>
      <w:r w:rsidRPr="003605AD">
        <w:rPr>
          <w:rFonts w:ascii="Trebuchet MS" w:hAnsi="Trebuchet MS" w:cs="Arial"/>
          <w:i/>
          <w:color w:val="000000"/>
          <w:sz w:val="22"/>
          <w:szCs w:val="22"/>
        </w:rPr>
        <w:t>Nota 3.2.1</w:t>
      </w:r>
      <w:r w:rsidRPr="003605AD">
        <w:rPr>
          <w:rFonts w:ascii="Trebuchet MS" w:hAnsi="Trebuchet MS" w:cs="Arial"/>
          <w:color w:val="000000"/>
          <w:sz w:val="22"/>
          <w:szCs w:val="22"/>
        </w:rPr>
        <w:t>) e a provisão para riscos trabalhistas e cíveis (</w:t>
      </w:r>
      <w:r w:rsidRPr="003605AD">
        <w:rPr>
          <w:rFonts w:ascii="Trebuchet MS" w:hAnsi="Trebuchet MS" w:cs="Arial"/>
          <w:i/>
          <w:color w:val="000000"/>
          <w:sz w:val="22"/>
          <w:szCs w:val="22"/>
        </w:rPr>
        <w:t>Nota 3.8</w:t>
      </w:r>
      <w:r w:rsidRPr="003605AD">
        <w:rPr>
          <w:rFonts w:ascii="Trebuchet MS" w:hAnsi="Trebuchet MS" w:cs="Arial"/>
          <w:color w:val="000000"/>
          <w:sz w:val="22"/>
          <w:szCs w:val="22"/>
        </w:rPr>
        <w:t>). Os valores definitivos das transações envolvendo essas estimativas somente são conhecidos por ocasião da sua realização ou liquidação.</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pStyle w:val="BDOTtulo1"/>
        <w:widowControl w:val="0"/>
        <w:tabs>
          <w:tab w:val="clear" w:pos="567"/>
          <w:tab w:val="left" w:pos="426"/>
        </w:tabs>
        <w:suppressAutoHyphens w:val="0"/>
        <w:spacing w:line="230" w:lineRule="auto"/>
        <w:ind w:left="0" w:firstLine="0"/>
        <w:rPr>
          <w:rFonts w:ascii="Trebuchet MS" w:hAnsi="Trebuchet MS"/>
          <w:color w:val="000000"/>
          <w:szCs w:val="22"/>
        </w:rPr>
      </w:pPr>
      <w:r w:rsidRPr="003605AD">
        <w:rPr>
          <w:rFonts w:ascii="Trebuchet MS" w:hAnsi="Trebuchet MS"/>
          <w:color w:val="000000"/>
          <w:szCs w:val="22"/>
        </w:rPr>
        <w:t>3.</w:t>
      </w:r>
      <w:r w:rsidRPr="003605AD">
        <w:rPr>
          <w:rFonts w:ascii="Trebuchet MS" w:hAnsi="Trebuchet MS"/>
          <w:color w:val="000000"/>
          <w:szCs w:val="22"/>
        </w:rPr>
        <w:tab/>
      </w:r>
      <w:r w:rsidRPr="003605AD">
        <w:rPr>
          <w:rFonts w:ascii="Trebuchet MS" w:hAnsi="Trebuchet MS"/>
          <w:caps w:val="0"/>
          <w:color w:val="000000"/>
          <w:szCs w:val="22"/>
        </w:rPr>
        <w:t>Políticas Contábeis</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Dentre as principais práticas adotadas para a elaboração das demonstrações contábeis, aplicadas de forma uniforme com o exercício anterior, exceto no que tange às provisões para devedores duvidosos (subitens 3.2.1 e 3.2.2), ressaltam-se:</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FD52B7" w:rsidRDefault="003605AD" w:rsidP="003605AD">
      <w:pPr>
        <w:tabs>
          <w:tab w:val="left" w:pos="993"/>
        </w:tabs>
        <w:autoSpaceDE w:val="0"/>
        <w:autoSpaceDN w:val="0"/>
        <w:adjustRightInd w:val="0"/>
        <w:spacing w:line="230" w:lineRule="auto"/>
        <w:ind w:firstLine="426"/>
        <w:rPr>
          <w:rFonts w:ascii="Trebuchet MS" w:hAnsi="Trebuchet MS" w:cs="Arial"/>
          <w:sz w:val="22"/>
          <w:szCs w:val="22"/>
        </w:rPr>
      </w:pPr>
      <w:r w:rsidRPr="003605AD">
        <w:rPr>
          <w:rFonts w:ascii="Trebuchet MS" w:hAnsi="Trebuchet MS" w:cs="Arial"/>
          <w:b/>
          <w:bCs/>
          <w:color w:val="000000"/>
          <w:sz w:val="22"/>
          <w:szCs w:val="22"/>
        </w:rPr>
        <w:t>3.1.</w:t>
      </w:r>
      <w:r w:rsidRPr="003605AD">
        <w:rPr>
          <w:rFonts w:ascii="Trebuchet MS" w:hAnsi="Trebuchet MS" w:cs="Arial"/>
          <w:b/>
          <w:bCs/>
          <w:color w:val="000000"/>
          <w:sz w:val="22"/>
          <w:szCs w:val="22"/>
        </w:rPr>
        <w:tab/>
        <w:t>Caixa e equivalente de caixa</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3.2</w:t>
      </w:r>
      <w:r w:rsidRPr="003605AD">
        <w:rPr>
          <w:rFonts w:ascii="Trebuchet MS" w:hAnsi="Trebuchet MS" w:cs="Arial"/>
          <w:b/>
          <w:bCs/>
          <w:color w:val="000000"/>
          <w:sz w:val="22"/>
          <w:szCs w:val="22"/>
        </w:rPr>
        <w:tab/>
      </w:r>
      <w:r w:rsidRPr="003605AD">
        <w:rPr>
          <w:rFonts w:ascii="Trebuchet MS" w:hAnsi="Trebuchet MS"/>
          <w:b/>
          <w:color w:val="000000"/>
          <w:sz w:val="22"/>
          <w:szCs w:val="22"/>
        </w:rPr>
        <w:t>Créditos de anuidades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rsidR="003605AD" w:rsidRPr="003605AD" w:rsidRDefault="003605AD" w:rsidP="003605AD">
      <w:pPr>
        <w:widowControl w:val="0"/>
        <w:spacing w:line="230" w:lineRule="auto"/>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b/>
          <w:color w:val="000000"/>
          <w:sz w:val="22"/>
          <w:szCs w:val="22"/>
        </w:rPr>
      </w:pPr>
      <w:r w:rsidRPr="00EF4702">
        <w:rPr>
          <w:rFonts w:ascii="Trebuchet MS" w:hAnsi="Trebuchet MS" w:cs="Arial"/>
          <w:b/>
          <w:color w:val="000000"/>
          <w:sz w:val="22"/>
          <w:szCs w:val="22"/>
        </w:rPr>
        <w:t>3.2.1</w:t>
      </w:r>
      <w:r w:rsidRPr="00EF4702">
        <w:rPr>
          <w:rFonts w:ascii="Trebuchet MS" w:hAnsi="Trebuchet MS" w:cs="Arial"/>
          <w:color w:val="000000"/>
          <w:sz w:val="22"/>
          <w:szCs w:val="22"/>
        </w:rPr>
        <w:t xml:space="preserve"> </w:t>
      </w:r>
      <w:r w:rsidRPr="00EF4702">
        <w:rPr>
          <w:rFonts w:ascii="Trebuchet MS" w:hAnsi="Trebuchet MS" w:cs="Arial"/>
          <w:b/>
          <w:color w:val="000000"/>
          <w:sz w:val="22"/>
          <w:szCs w:val="22"/>
        </w:rPr>
        <w:t>Ajuste para Perdas de Devedores Duvidosos</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Implantação de política contábil em 2017</w:t>
      </w:r>
      <w:r w:rsidRPr="003605AD">
        <w:rPr>
          <w:rFonts w:ascii="Trebuchet MS" w:hAnsi="Trebuchet MS" w:cs="Arial"/>
          <w:color w:val="000000"/>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EF4702">
        <w:rPr>
          <w:rFonts w:ascii="Trebuchet MS" w:hAnsi="Trebuchet MS" w:cs="Arial"/>
          <w:color w:val="000000"/>
        </w:rPr>
        <w:t>RS</w:t>
      </w:r>
      <w:r w:rsidRPr="003605AD">
        <w:rPr>
          <w:rFonts w:ascii="Trebuchet MS" w:hAnsi="Trebuchet MS" w:cs="Arial"/>
          <w:color w:val="000000"/>
        </w:rPr>
        <w:t xml:space="preserve"> procedeu ao registro contábil de Ajuste para Perdas de Devedores Duvidosos ao encerramento do exercício de 2017.</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Base de mensuração</w:t>
      </w:r>
      <w:r w:rsidRPr="003605AD">
        <w:rPr>
          <w:rFonts w:ascii="Trebuchet MS" w:hAnsi="Trebuchet MS" w:cs="Arial"/>
          <w:color w:val="000000"/>
        </w:rPr>
        <w:t xml:space="preserve"> – </w:t>
      </w:r>
      <w:r w:rsidR="00EF4702">
        <w:rPr>
          <w:rFonts w:ascii="Trebuchet MS" w:hAnsi="Trebuchet MS" w:cs="Arial"/>
          <w:color w:val="000000"/>
        </w:rPr>
        <w:t>No exercício de 2017 foi utilizada a m</w:t>
      </w:r>
      <w:r w:rsidRPr="003605AD">
        <w:rPr>
          <w:rFonts w:ascii="Trebuchet MS" w:hAnsi="Trebuchet MS" w:cs="Arial"/>
          <w:color w:val="000000"/>
        </w:rPr>
        <w:t>édia ponderada dos percentuais de recebimento de anuidades de pessoas físicas e jurídicas nos últimos três exercícios anteriores ao deste balanço, aplicada sobre o estoque acumulado de créditos oriundos de anuidades não recebidas relativas aos exercícios de 2012 (ano de início das atividades do Conselho) a 2017.</w:t>
      </w:r>
      <w:r w:rsidR="00EF4702">
        <w:rPr>
          <w:rFonts w:ascii="Trebuchet MS" w:hAnsi="Trebuchet MS" w:cs="Arial"/>
          <w:color w:val="000000"/>
        </w:rPr>
        <w:t xml:space="preserve"> No ano de 2018, o critério adotado foi o de média simples dos percentuais de recebimento de anuidades de pessoas físicas e jurídicas dos anos de 2015, 2016 e 2017. Foi calculado um percentual para Perdas de Devedores Duvidosos de pessoas físicas e um para pessoas jurídicas sendo aplicados sobre os respectivos saldos a receber em 31/12/2018 das anuidades dos anos de 2012 a 2017.</w:t>
      </w:r>
    </w:p>
    <w:p w:rsidR="003605AD" w:rsidRPr="003605AD" w:rsidRDefault="003605AD" w:rsidP="003605AD">
      <w:pPr>
        <w:pStyle w:val="PargrafodaLista"/>
        <w:widowControl w:val="0"/>
        <w:numPr>
          <w:ilvl w:val="0"/>
          <w:numId w:val="10"/>
        </w:numPr>
        <w:spacing w:before="120" w:line="230" w:lineRule="auto"/>
        <w:ind w:left="709" w:hanging="284"/>
        <w:contextualSpacing w:val="0"/>
        <w:jc w:val="both"/>
        <w:rPr>
          <w:rFonts w:ascii="Trebuchet MS" w:hAnsi="Trebuchet MS" w:cs="Arial"/>
          <w:color w:val="000000"/>
        </w:rPr>
      </w:pPr>
      <w:r w:rsidRPr="003605AD">
        <w:rPr>
          <w:rFonts w:ascii="Trebuchet MS" w:hAnsi="Trebuchet MS" w:cs="Arial"/>
          <w:b/>
          <w:color w:val="000000"/>
        </w:rPr>
        <w:t>Julgamento pela aplicação</w:t>
      </w:r>
      <w:r w:rsidRPr="003605AD">
        <w:rPr>
          <w:rFonts w:ascii="Trebuchet MS" w:hAnsi="Trebuchet MS" w:cs="Arial"/>
          <w:color w:val="000000"/>
        </w:rPr>
        <w:t xml:space="preserve"> – Tratando-se de implantação de política</w:t>
      </w:r>
      <w:r w:rsidR="00EF4702">
        <w:rPr>
          <w:rFonts w:ascii="Trebuchet MS" w:hAnsi="Trebuchet MS" w:cs="Arial"/>
          <w:color w:val="000000"/>
        </w:rPr>
        <w:t xml:space="preserve"> e a alteração do critério no ano de 2018</w:t>
      </w:r>
      <w:r w:rsidRPr="003605AD">
        <w:rPr>
          <w:rFonts w:ascii="Trebuchet MS" w:hAnsi="Trebuchet MS" w:cs="Arial"/>
          <w:color w:val="000000"/>
        </w:rPr>
        <w:t>, decidiu-se aplicar critério proposto pelo CAU/BR por meio da Orientação Técnica Conjunta nº 01/2017, plausível à realidade do CAU/</w:t>
      </w:r>
      <w:r w:rsidR="00EF4702">
        <w:rPr>
          <w:rFonts w:ascii="Trebuchet MS" w:hAnsi="Trebuchet MS" w:cs="Arial"/>
          <w:color w:val="000000"/>
        </w:rPr>
        <w:t>RS</w:t>
      </w:r>
      <w:r w:rsidRPr="003605AD">
        <w:rPr>
          <w:rFonts w:ascii="Trebuchet MS" w:hAnsi="Trebuchet MS" w:cs="Arial"/>
          <w:color w:val="000000"/>
        </w:rPr>
        <w:t>, considerando-se o princípio contábil do conservadorismo ou prudência ao tempo em que se utiliza o comportamento histórico de recebimentos em detrimento de estimativas de recebimentos em ações de cobrança.</w:t>
      </w: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cs="Arial"/>
          <w:b/>
          <w:bCs/>
          <w:color w:val="000000"/>
          <w:sz w:val="22"/>
          <w:szCs w:val="22"/>
        </w:rPr>
      </w:pPr>
      <w:r w:rsidRPr="003605AD">
        <w:rPr>
          <w:rFonts w:ascii="Trebuchet MS" w:hAnsi="Trebuchet MS" w:cs="Arial"/>
          <w:b/>
          <w:bCs/>
          <w:color w:val="000000"/>
          <w:sz w:val="22"/>
          <w:szCs w:val="22"/>
        </w:rPr>
        <w:t>3.3 Estoques</w:t>
      </w:r>
    </w:p>
    <w:p w:rsidR="003605AD" w:rsidRPr="00FD52B7" w:rsidRDefault="003605AD" w:rsidP="003605AD">
      <w:pPr>
        <w:pStyle w:val="Default"/>
        <w:widowControl w:val="0"/>
        <w:tabs>
          <w:tab w:val="left" w:pos="567"/>
        </w:tabs>
        <w:spacing w:line="264" w:lineRule="auto"/>
        <w:rPr>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bCs/>
          <w:color w:val="000000"/>
          <w:sz w:val="22"/>
          <w:szCs w:val="22"/>
        </w:rPr>
        <w:t>Os estoques são registrados ao custo de aquisição, que não supera os valores de mercado ou valor líquido de realização. Os estoques estão representados exclusivamente pelo almoxarifado de materiais de uso e consumo em expediente.</w:t>
      </w:r>
    </w:p>
    <w:p w:rsidR="003605AD" w:rsidRPr="00FD52B7" w:rsidRDefault="003605AD" w:rsidP="003605AD">
      <w:pPr>
        <w:pStyle w:val="Default"/>
        <w:widowControl w:val="0"/>
        <w:tabs>
          <w:tab w:val="left" w:pos="567"/>
        </w:tabs>
        <w:spacing w:line="264" w:lineRule="auto"/>
        <w:ind w:hanging="1418"/>
        <w:rPr>
          <w:rFonts w:ascii="Trebuchet MS" w:hAnsi="Trebuchet MS" w:cs="Arial"/>
          <w:color w:val="auto"/>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3.4. Imobilizado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Avaliado ao custo de aquisição e reduzido pela depreciação acumulada e pelas perdas por “impairment”, quando aplicável.</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direitos que tenham por objeto bens corpóreos destinados à manutenção das atividades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CAU/</w:t>
      </w:r>
      <w:r w:rsidR="00B110FB">
        <w:rPr>
          <w:rFonts w:ascii="Trebuchet MS" w:hAnsi="Trebuchet MS"/>
          <w:bCs/>
          <w:color w:val="000000"/>
          <w:sz w:val="22"/>
          <w:szCs w:val="22"/>
        </w:rPr>
        <w:t>RS</w:t>
      </w:r>
      <w:r w:rsidRPr="003605AD">
        <w:rPr>
          <w:rFonts w:ascii="Trebuchet MS" w:hAnsi="Trebuchet MS"/>
          <w:bCs/>
          <w:color w:val="000000"/>
          <w:sz w:val="22"/>
          <w:szCs w:val="22"/>
        </w:rPr>
        <w:t xml:space="preserve"> segue integralmente a Orientação Técnica Conjunta nº 01/2017 expedida pelo CAU/BR, quanto aos procedimentos na aquisição, baixa e na depreciação/amortização dos seus bens patrimoniais.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A depreciação é calculada pelo método linear, para distribuir seu valor de custo ao longo da vida útil estimada, como segue: </w:t>
      </w:r>
    </w:p>
    <w:bookmarkStart w:id="2" w:name="_MON_1579500800"/>
    <w:bookmarkEnd w:id="2"/>
    <w:p w:rsidR="003605AD" w:rsidRPr="003605AD" w:rsidRDefault="00EF4702" w:rsidP="00EF4702">
      <w:pPr>
        <w:widowControl w:val="0"/>
        <w:spacing w:line="230" w:lineRule="auto"/>
        <w:ind w:left="426"/>
        <w:jc w:val="center"/>
        <w:rPr>
          <w:rFonts w:ascii="Trebuchet MS" w:hAnsi="Trebuchet MS" w:cs="Arial"/>
          <w:color w:val="000000"/>
          <w:sz w:val="22"/>
          <w:szCs w:val="22"/>
        </w:rPr>
      </w:pPr>
      <w:r w:rsidRPr="003605AD">
        <w:rPr>
          <w:rFonts w:ascii="Trebuchet MS" w:hAnsi="Trebuchet MS" w:cs="Arial"/>
          <w:color w:val="000000"/>
          <w:sz w:val="22"/>
          <w:szCs w:val="22"/>
        </w:rPr>
        <w:object w:dxaOrig="8621" w:dyaOrig="2251">
          <v:shape id="_x0000_i1026" type="#_x0000_t75" style="width:394.5pt;height:102.75pt" o:ole="">
            <v:imagedata r:id="rId21" o:title=""/>
          </v:shape>
          <o:OLEObject Type="Embed" ProgID="Excel.Sheet.12" ShapeID="_x0000_i1026" DrawAspect="Content" ObjectID="_1658753052" r:id="rId22"/>
        </w:object>
      </w:r>
    </w:p>
    <w:p w:rsidR="003605AD" w:rsidRPr="003605AD" w:rsidRDefault="003605AD" w:rsidP="003605AD">
      <w:pPr>
        <w:widowControl w:val="0"/>
        <w:spacing w:before="120" w:line="230" w:lineRule="auto"/>
        <w:ind w:left="425"/>
        <w:jc w:val="both"/>
        <w:rPr>
          <w:rFonts w:ascii="Trebuchet MS" w:hAnsi="Trebuchet MS"/>
          <w:bCs/>
          <w:color w:val="000000"/>
          <w:sz w:val="22"/>
          <w:szCs w:val="22"/>
        </w:rPr>
      </w:pPr>
      <w:r w:rsidRPr="003605AD">
        <w:rPr>
          <w:rFonts w:ascii="Trebuchet MS" w:hAnsi="Trebuchet MS"/>
          <w:bCs/>
          <w:color w:val="000000"/>
          <w:sz w:val="22"/>
          <w:szCs w:val="22"/>
        </w:rPr>
        <w:t>Os valores residuais e a vida útil dos ativos são revisados e ajustados, se apropriado, ao final de cada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ganhos e as perdas em alienações, sempre que aplicável, são apurados comparando-se o valor da venda com o valor residual contábil e são reconhecidos na execução orçamentária.</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3.5. Provisões para perdas por impairment em ativos não financeiros</w:t>
      </w:r>
    </w:p>
    <w:p w:rsidR="003605AD" w:rsidRPr="00FD52B7" w:rsidRDefault="003605AD" w:rsidP="003605AD">
      <w:pPr>
        <w:pStyle w:val="Default"/>
        <w:widowControl w:val="0"/>
        <w:tabs>
          <w:tab w:val="left" w:pos="567"/>
        </w:tabs>
        <w:rPr>
          <w:rStyle w:val="A6"/>
          <w:rFonts w:ascii="Trebuchet MS" w:hAnsi="Trebuchet MS" w:cs="Arial"/>
          <w:color w:val="auto"/>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Os ativos que estão sujeitos à amortização são revisados para a verificação de impairment sempre que eventos ou mudanças nas circunstâncias indicarem que o valor contábil pode não ser recuperável. Uma perda por impairment é reconhecida quando o valor contábil do ativo excede seu valor recuperável, o qual representa o maior valor entre o valor justo de um ativo menos seus custos de venda e o seu valor em uso.</w:t>
      </w: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3.6. Outros ativos e passivos</w:t>
      </w:r>
    </w:p>
    <w:p w:rsidR="003605AD" w:rsidRPr="00FD52B7" w:rsidRDefault="003605AD" w:rsidP="003605AD">
      <w:pPr>
        <w:pStyle w:val="PargrafodaLista"/>
        <w:ind w:left="-4"/>
        <w:jc w:val="both"/>
        <w:rPr>
          <w:rFonts w:ascii="Trebuchet MS" w:hAnsi="Trebuchet MS" w:cs="Arial"/>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autoSpaceDE w:val="0"/>
        <w:autoSpaceDN w:val="0"/>
        <w:adjustRightInd w:val="0"/>
        <w:spacing w:line="230" w:lineRule="auto"/>
        <w:ind w:firstLine="426"/>
        <w:rPr>
          <w:rFonts w:ascii="Trebuchet MS" w:hAnsi="Trebuchet MS" w:cs="Arial"/>
          <w:b/>
          <w:bCs/>
          <w:color w:val="000000"/>
          <w:sz w:val="22"/>
          <w:szCs w:val="22"/>
        </w:rPr>
      </w:pPr>
      <w:r w:rsidRPr="003605AD">
        <w:rPr>
          <w:rFonts w:ascii="Trebuchet MS" w:hAnsi="Trebuchet MS" w:cs="Arial"/>
          <w:b/>
          <w:bCs/>
          <w:color w:val="000000"/>
          <w:sz w:val="22"/>
          <w:szCs w:val="22"/>
        </w:rPr>
        <w:t>3.7. Fornecedores</w:t>
      </w:r>
    </w:p>
    <w:p w:rsidR="003605AD" w:rsidRPr="00FD52B7" w:rsidRDefault="003605AD" w:rsidP="003605AD">
      <w:pPr>
        <w:pStyle w:val="Default"/>
        <w:widowControl w:val="0"/>
        <w:tabs>
          <w:tab w:val="left" w:pos="567"/>
        </w:tabs>
        <w:spacing w:line="264" w:lineRule="auto"/>
        <w:rPr>
          <w:rStyle w:val="A12"/>
          <w:rFonts w:ascii="Trebuchet MS" w:hAnsi="Trebuchet MS" w:cs="Arial"/>
          <w:b w:val="0"/>
          <w:color w:val="auto"/>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rsidR="003605AD" w:rsidRPr="003605AD" w:rsidRDefault="003605AD" w:rsidP="003605AD">
      <w:pPr>
        <w:widowControl w:val="0"/>
        <w:spacing w:line="230" w:lineRule="auto"/>
        <w:ind w:left="426"/>
        <w:jc w:val="both"/>
        <w:rPr>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Elas são reconhecidas ao valor da fatura correspondente.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AB70CE">
        <w:rPr>
          <w:rFonts w:ascii="Trebuchet MS" w:hAnsi="Trebuchet MS" w:cs="Arial"/>
          <w:b/>
          <w:bCs/>
          <w:color w:val="000000"/>
          <w:sz w:val="22"/>
          <w:szCs w:val="22"/>
        </w:rPr>
        <w:t xml:space="preserve">3.8. </w:t>
      </w:r>
      <w:r w:rsidRPr="00AB70CE">
        <w:rPr>
          <w:rStyle w:val="Forte"/>
          <w:rFonts w:ascii="Trebuchet MS" w:hAnsi="Trebuchet MS" w:cs="Arial"/>
          <w:color w:val="000000"/>
          <w:sz w:val="22"/>
          <w:szCs w:val="22"/>
        </w:rPr>
        <w:t>Provisões para riscos cíveis e trabalhistas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Implantação de política contábil em 2017</w:t>
      </w:r>
      <w:r w:rsidRPr="003605AD">
        <w:rPr>
          <w:rFonts w:ascii="Trebuchet MS" w:hAnsi="Trebuchet MS" w:cs="Arial"/>
          <w:color w:val="000000"/>
          <w:sz w:val="22"/>
          <w:szCs w:val="22"/>
        </w:rPr>
        <w:t xml:space="preserve"> – 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procedeu ao registro contábil de Provisões para Contingências Cíveis e Trabalhistas ao encerramento do exercício de 2017.</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b/>
          <w:color w:val="000000"/>
          <w:sz w:val="22"/>
          <w:szCs w:val="22"/>
        </w:rPr>
        <w:t>Base de mensuração</w:t>
      </w:r>
      <w:r w:rsidRPr="003605AD">
        <w:rPr>
          <w:rFonts w:ascii="Trebuchet MS" w:hAnsi="Trebuchet MS" w:cs="Arial"/>
          <w:color w:val="000000"/>
          <w:sz w:val="22"/>
          <w:szCs w:val="22"/>
        </w:rPr>
        <w:t xml:space="preserve"> – O CAU/</w:t>
      </w:r>
      <w:r w:rsidR="00AB70CE">
        <w:rPr>
          <w:rFonts w:ascii="Trebuchet MS" w:hAnsi="Trebuchet MS" w:cs="Arial"/>
          <w:color w:val="000000"/>
          <w:sz w:val="22"/>
          <w:szCs w:val="22"/>
        </w:rPr>
        <w:t>RS</w:t>
      </w:r>
      <w:r w:rsidRPr="003605AD">
        <w:rPr>
          <w:rFonts w:ascii="Trebuchet MS" w:hAnsi="Trebuchet MS" w:cs="Arial"/>
          <w:color w:val="000000"/>
          <w:sz w:val="22"/>
          <w:szCs w:val="22"/>
        </w:rPr>
        <w:t xml:space="preserve"> adota a Orientação Técnica Conjunta nº 01/2017 expedida pelo CAU/BR, em consonância com as instruções contidas no Manual de Contabilidade Aplicada ao Setor Público (MCASP).</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contingências que compõem o passivo circulante e/ou passivo não circulante, se aplicável, observa os critérios do estudo de possibilidade de perdas cuja elaboração é de responsabilidade da Assessoria Jurídica do Conselho.</w:t>
      </w:r>
    </w:p>
    <w:p w:rsidR="003605AD" w:rsidRPr="003605AD" w:rsidRDefault="003605AD" w:rsidP="003605AD">
      <w:pPr>
        <w:widowControl w:val="0"/>
        <w:spacing w:line="230" w:lineRule="auto"/>
        <w:ind w:left="425"/>
        <w:jc w:val="both"/>
        <w:rPr>
          <w:rFonts w:ascii="Trebuchet MS" w:hAnsi="Trebuchet MS" w:cs="Arial"/>
          <w:color w:val="000000"/>
          <w:sz w:val="22"/>
          <w:szCs w:val="22"/>
        </w:rPr>
      </w:pPr>
    </w:p>
    <w:p w:rsidR="001A04DB" w:rsidRDefault="001A04DB" w:rsidP="003605AD">
      <w:pPr>
        <w:widowControl w:val="0"/>
        <w:spacing w:line="230" w:lineRule="auto"/>
        <w:ind w:left="425"/>
        <w:jc w:val="both"/>
        <w:rPr>
          <w:rFonts w:ascii="Trebuchet MS" w:hAnsi="Trebuchet MS" w:cs="Arial"/>
          <w:color w:val="000000"/>
          <w:sz w:val="22"/>
          <w:szCs w:val="22"/>
        </w:rPr>
      </w:pPr>
    </w:p>
    <w:p w:rsidR="003605AD" w:rsidRPr="003605AD" w:rsidRDefault="003605AD" w:rsidP="003605AD">
      <w:pPr>
        <w:widowControl w:val="0"/>
        <w:spacing w:line="230" w:lineRule="auto"/>
        <w:ind w:left="425"/>
        <w:jc w:val="both"/>
        <w:rPr>
          <w:rFonts w:ascii="Trebuchet MS" w:hAnsi="Trebuchet MS" w:cs="Arial"/>
          <w:color w:val="000000"/>
          <w:sz w:val="22"/>
          <w:szCs w:val="22"/>
        </w:rPr>
      </w:pPr>
      <w:r w:rsidRPr="003605AD">
        <w:rPr>
          <w:rFonts w:ascii="Trebuchet MS" w:hAnsi="Trebuchet MS" w:cs="Arial"/>
          <w:color w:val="000000"/>
          <w:sz w:val="22"/>
          <w:szCs w:val="22"/>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rsidR="003605AD" w:rsidRPr="003605AD" w:rsidRDefault="003605AD" w:rsidP="003605AD">
      <w:pPr>
        <w:widowControl w:val="0"/>
        <w:spacing w:line="230" w:lineRule="auto"/>
        <w:ind w:left="425"/>
        <w:jc w:val="both"/>
        <w:rPr>
          <w:rFonts w:ascii="Trebuchet MS" w:hAnsi="Trebuchet MS" w:cs="Arial"/>
          <w:b/>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3.9. </w:t>
      </w:r>
      <w:r w:rsidRPr="003605AD">
        <w:rPr>
          <w:rStyle w:val="Forte"/>
          <w:rFonts w:ascii="Trebuchet MS" w:hAnsi="Trebuchet MS" w:cs="Arial"/>
          <w:color w:val="000000"/>
          <w:sz w:val="22"/>
          <w:szCs w:val="22"/>
        </w:rPr>
        <w:t>Balanço Patrimonial</w:t>
      </w:r>
    </w:p>
    <w:p w:rsidR="003605AD" w:rsidRPr="00681F89"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Patrimonial, estruturado em Ativo, Passivo e Patrimônio Líquido, evidencia qualitativa e quantitativamente a situação patrimonial da Entidade.</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classificação dos elementos patrimoniais considera a segregação em “circulante” e “não circulante”, com base em seus atributos de conversibilidade e exigibilidade.</w:t>
      </w:r>
    </w:p>
    <w:p w:rsidR="003605AD" w:rsidRPr="003605AD" w:rsidRDefault="003605AD" w:rsidP="003605AD">
      <w:pPr>
        <w:widowControl w:val="0"/>
        <w:spacing w:line="230" w:lineRule="auto"/>
        <w:ind w:left="426"/>
        <w:jc w:val="both"/>
        <w:rPr>
          <w:rStyle w:val="Forte"/>
          <w:rFonts w:ascii="Trebuchet MS" w:hAnsi="Trebuchet MS" w:cs="Arial"/>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3.10. </w:t>
      </w:r>
      <w:r w:rsidRPr="003605AD">
        <w:rPr>
          <w:rStyle w:val="Forte"/>
          <w:rFonts w:ascii="Trebuchet MS" w:hAnsi="Trebuchet MS" w:cs="Arial"/>
          <w:color w:val="000000"/>
          <w:sz w:val="22"/>
          <w:szCs w:val="22"/>
        </w:rPr>
        <w:t>Balanço Orçamentário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evidencia as receitas e as despesas orçamentárias, detalhadas em níveis relevantes de análise, confrontando o orçamento inicial e as suas alterações com a execução, demonstrando o resultado orçamentário.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Orçamentário é estruturado de forma a evidenciar a integração entre o planejamento e a execução orçamentária.</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3.11. </w:t>
      </w:r>
      <w:r w:rsidRPr="003605AD">
        <w:rPr>
          <w:rStyle w:val="Forte"/>
          <w:rFonts w:ascii="Trebuchet MS" w:hAnsi="Trebuchet MS" w:cs="Arial"/>
          <w:color w:val="000000"/>
          <w:sz w:val="22"/>
          <w:szCs w:val="22"/>
        </w:rPr>
        <w:t>Balanço Financeiro</w:t>
      </w:r>
    </w:p>
    <w:p w:rsidR="003605AD" w:rsidRPr="003605AD" w:rsidRDefault="003605AD" w:rsidP="003605AD">
      <w:pPr>
        <w:tabs>
          <w:tab w:val="left" w:pos="993"/>
        </w:tabs>
        <w:spacing w:line="252" w:lineRule="auto"/>
        <w:ind w:firstLine="284"/>
        <w:rPr>
          <w:rStyle w:val="Forte"/>
          <w:rFonts w:ascii="Trebuchet MS" w:hAnsi="Trebuchet MS" w:cs="Arial"/>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Balanço Financeiro evidencia as receitas e despesas orçamentárias, bem como os ingressos e dispêndios extraorçamentários, conjugados com os saldos de caixa do exercício anterior e os que se transferem para o início do exercício seguinte.</w:t>
      </w:r>
    </w:p>
    <w:p w:rsidR="003605AD" w:rsidRPr="00681F89" w:rsidRDefault="003605AD" w:rsidP="003605AD">
      <w:pPr>
        <w:widowControl w:val="0"/>
        <w:spacing w:line="230" w:lineRule="auto"/>
        <w:ind w:left="426"/>
        <w:jc w:val="both"/>
        <w:rPr>
          <w:b/>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3.12. </w:t>
      </w:r>
      <w:r w:rsidRPr="003605AD">
        <w:rPr>
          <w:rStyle w:val="Forte"/>
          <w:rFonts w:ascii="Trebuchet MS" w:hAnsi="Trebuchet MS" w:cs="Arial"/>
          <w:color w:val="000000"/>
          <w:sz w:val="22"/>
          <w:szCs w:val="22"/>
        </w:rPr>
        <w:t>Demonstração das variações patrimoniais</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das Variações Patrimoniais evidencia as variações verificadas no patrimônio e indica o resultado patrimonial do exercício.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As variações quantitativas são decorrentes de transações no setor público que aumentam ou diminuem o patrimônio líquido.</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O resultado patrimonial do período é apurado pelo confronto entre as variações quantitativas aumentativas e diminutivas.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tabs>
          <w:tab w:val="left" w:pos="993"/>
        </w:tabs>
        <w:spacing w:line="252" w:lineRule="auto"/>
        <w:ind w:firstLine="426"/>
        <w:rPr>
          <w:rStyle w:val="Forte"/>
          <w:rFonts w:ascii="Trebuchet MS" w:hAnsi="Trebuchet MS" w:cs="Arial"/>
          <w:color w:val="000000"/>
          <w:sz w:val="22"/>
          <w:szCs w:val="22"/>
        </w:rPr>
      </w:pPr>
      <w:r w:rsidRPr="003605AD">
        <w:rPr>
          <w:rFonts w:ascii="Trebuchet MS" w:hAnsi="Trebuchet MS" w:cs="Arial"/>
          <w:b/>
          <w:bCs/>
          <w:color w:val="000000"/>
          <w:sz w:val="22"/>
          <w:szCs w:val="22"/>
        </w:rPr>
        <w:t xml:space="preserve">3.13. </w:t>
      </w:r>
      <w:r w:rsidRPr="003605AD">
        <w:rPr>
          <w:rStyle w:val="Forte"/>
          <w:rFonts w:ascii="Trebuchet MS" w:hAnsi="Trebuchet MS" w:cs="Arial"/>
          <w:color w:val="000000"/>
          <w:sz w:val="22"/>
          <w:szCs w:val="22"/>
        </w:rPr>
        <w:t>Demonstração do fluxo de caixa</w:t>
      </w:r>
    </w:p>
    <w:p w:rsidR="003605AD" w:rsidRPr="003458DC" w:rsidRDefault="003605AD" w:rsidP="003605AD">
      <w:pPr>
        <w:widowControl w:val="0"/>
        <w:spacing w:line="230" w:lineRule="auto"/>
        <w:ind w:left="426"/>
        <w:jc w:val="both"/>
        <w:rPr>
          <w:b/>
        </w:rPr>
      </w:pPr>
    </w:p>
    <w:p w:rsidR="003605AD" w:rsidRPr="003605AD" w:rsidRDefault="003605AD" w:rsidP="003605AD">
      <w:pPr>
        <w:widowControl w:val="0"/>
        <w:spacing w:line="230" w:lineRule="auto"/>
        <w:ind w:left="426"/>
        <w:jc w:val="both"/>
        <w:rPr>
          <w:rFonts w:ascii="Trebuchet MS" w:hAnsi="Trebuchet MS"/>
          <w:bCs/>
          <w:color w:val="000000"/>
          <w:sz w:val="22"/>
          <w:szCs w:val="22"/>
        </w:rPr>
      </w:pPr>
      <w:r w:rsidRPr="003605AD">
        <w:rPr>
          <w:rFonts w:ascii="Trebuchet MS" w:hAnsi="Trebuchet MS"/>
          <w:bCs/>
          <w:color w:val="000000"/>
          <w:sz w:val="22"/>
          <w:szCs w:val="22"/>
        </w:rPr>
        <w:t>A Demonstração dos Fluxos de Caixa permite aos usuários projetar cenários de fluxos futuros de caixa e elaborar análise sobre eventuais mudanças em torno da capacidade de manutenção do regular financiamento dos serviços.</w:t>
      </w:r>
    </w:p>
    <w:p w:rsidR="003605AD" w:rsidRPr="003605AD" w:rsidRDefault="003605AD" w:rsidP="003605AD">
      <w:pPr>
        <w:widowControl w:val="0"/>
        <w:spacing w:line="230" w:lineRule="auto"/>
        <w:ind w:left="426"/>
        <w:jc w:val="both"/>
        <w:rPr>
          <w:rFonts w:ascii="Trebuchet MS" w:hAnsi="Trebuchet MS"/>
          <w:bCs/>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4.</w:t>
      </w:r>
      <w:r w:rsidRPr="003605AD">
        <w:rPr>
          <w:rFonts w:ascii="Trebuchet MS" w:hAnsi="Trebuchet MS" w:cs="Arial"/>
          <w:b/>
          <w:color w:val="000000"/>
          <w:sz w:val="22"/>
          <w:szCs w:val="22"/>
        </w:rPr>
        <w:tab/>
        <w:t>Gestão de risco financeiro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tabs>
          <w:tab w:val="left" w:pos="993"/>
        </w:tabs>
        <w:ind w:firstLine="426"/>
        <w:rPr>
          <w:rFonts w:ascii="Trebuchet MS" w:hAnsi="Trebuchet MS" w:cs="Arial"/>
          <w:color w:val="000000"/>
          <w:sz w:val="22"/>
          <w:szCs w:val="22"/>
        </w:rPr>
      </w:pPr>
      <w:r w:rsidRPr="003605AD">
        <w:rPr>
          <w:rFonts w:ascii="Trebuchet MS" w:hAnsi="Trebuchet MS" w:cs="Arial"/>
          <w:b/>
          <w:color w:val="000000"/>
          <w:sz w:val="22"/>
          <w:szCs w:val="22"/>
        </w:rPr>
        <w:t>4.1.</w:t>
      </w:r>
      <w:r w:rsidRPr="003605AD">
        <w:rPr>
          <w:rFonts w:ascii="Trebuchet MS" w:hAnsi="Trebuchet MS" w:cs="Arial"/>
          <w:b/>
          <w:color w:val="000000"/>
          <w:sz w:val="22"/>
          <w:szCs w:val="22"/>
        </w:rPr>
        <w:tab/>
        <w:t xml:space="preserve">Considerações gerais e políticas </w:t>
      </w:r>
    </w:p>
    <w:p w:rsidR="003605AD" w:rsidRPr="003605AD" w:rsidRDefault="003605AD" w:rsidP="001A04DB">
      <w:pPr>
        <w:widowControl w:val="0"/>
        <w:spacing w:before="120"/>
        <w:ind w:left="992"/>
        <w:jc w:val="both"/>
        <w:rPr>
          <w:rFonts w:ascii="Trebuchet MS" w:hAnsi="Trebuchet MS" w:cs="Arial"/>
          <w:color w:val="000000"/>
          <w:sz w:val="22"/>
          <w:szCs w:val="22"/>
        </w:rPr>
      </w:pPr>
      <w:r w:rsidRPr="003605AD">
        <w:rPr>
          <w:rFonts w:ascii="Trebuchet MS" w:hAnsi="Trebuchet MS" w:cs="Arial"/>
          <w:color w:val="000000"/>
          <w:sz w:val="22"/>
          <w:szCs w:val="22"/>
        </w:rPr>
        <w:t>As operações financeiras da Entidade são realizadas por intermédio da área financeira de acordo com a estratégia previamente aprovada pela alta governança.</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As estratégias de gerenciamento de riscos da Entidade e os efeitos nas demonstrações financeiras podem ser resumidos como segue:</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Crédito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O entendimento da Administração é de que o risco de crédito está substancialmente mitigado: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 com relação às aplicações financeiras, os recursos estão preponderantemente aplicados em instituições financeiras de primeira linha, cujos prazos de vencimento são de curto prazo; e </w:t>
      </w:r>
    </w:p>
    <w:p w:rsidR="003605AD" w:rsidRPr="003605AD" w:rsidRDefault="003605AD" w:rsidP="003605AD">
      <w:pPr>
        <w:widowControl w:val="0"/>
        <w:ind w:left="993"/>
        <w:rPr>
          <w:rFonts w:ascii="Trebuchet MS" w:hAnsi="Trebuchet MS" w:cs="Arial"/>
          <w:color w:val="000000"/>
          <w:sz w:val="22"/>
          <w:szCs w:val="22"/>
        </w:rPr>
      </w:pP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 xml:space="preserve">ii) com relação ao contas a receber os valores </w:t>
      </w:r>
      <w:r w:rsidR="00AB70CE">
        <w:rPr>
          <w:rFonts w:ascii="Trebuchet MS" w:hAnsi="Trebuchet MS" w:cs="Arial"/>
          <w:color w:val="000000"/>
          <w:sz w:val="22"/>
          <w:szCs w:val="22"/>
        </w:rPr>
        <w:t>são de</w:t>
      </w:r>
      <w:r w:rsidRPr="003605AD">
        <w:rPr>
          <w:rFonts w:ascii="Trebuchet MS" w:hAnsi="Trebuchet MS" w:cs="Arial"/>
          <w:color w:val="000000"/>
          <w:sz w:val="22"/>
          <w:szCs w:val="22"/>
        </w:rPr>
        <w:t xml:space="preserve"> anuidades a receber dos profissionais arquitetos e urbanistas, sendo que para o exercício da profissão as anuidades precisam estar adimplentes.</w:t>
      </w:r>
    </w:p>
    <w:p w:rsidR="003605AD" w:rsidRPr="003605AD" w:rsidRDefault="003605AD" w:rsidP="003605AD">
      <w:pPr>
        <w:widowControl w:val="0"/>
        <w:ind w:left="993"/>
        <w:rPr>
          <w:rFonts w:ascii="Trebuchet MS" w:hAnsi="Trebuchet MS" w:cs="Arial"/>
          <w:color w:val="000000"/>
          <w:sz w:val="22"/>
          <w:szCs w:val="22"/>
        </w:rPr>
      </w:pPr>
      <w:r w:rsidRPr="003605AD">
        <w:rPr>
          <w:rFonts w:ascii="Trebuchet MS" w:hAnsi="Trebuchet MS" w:cs="Arial"/>
          <w:color w:val="000000"/>
          <w:sz w:val="22"/>
          <w:szCs w:val="22"/>
        </w:rPr>
        <w:t xml:space="preserve"> </w:t>
      </w:r>
    </w:p>
    <w:p w:rsidR="003605AD" w:rsidRPr="003605AD" w:rsidRDefault="003605AD" w:rsidP="003605AD">
      <w:pPr>
        <w:widowControl w:val="0"/>
        <w:ind w:left="993"/>
        <w:jc w:val="both"/>
        <w:rPr>
          <w:rFonts w:ascii="Trebuchet MS" w:hAnsi="Trebuchet MS" w:cs="Arial"/>
          <w:color w:val="000000"/>
          <w:sz w:val="22"/>
          <w:szCs w:val="22"/>
        </w:rPr>
      </w:pPr>
      <w:r w:rsidRPr="003605AD">
        <w:rPr>
          <w:rFonts w:ascii="Trebuchet MS" w:hAnsi="Trebuchet MS" w:cs="Arial"/>
          <w:color w:val="000000"/>
          <w:sz w:val="22"/>
          <w:szCs w:val="22"/>
        </w:rPr>
        <w:t>Adicionalmente, não há nenhum indicativo de redução ao valor recuperável desses ativos.</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mercado</w:t>
      </w:r>
    </w:p>
    <w:p w:rsidR="003605AD" w:rsidRPr="003605AD" w:rsidRDefault="003605AD" w:rsidP="003605AD">
      <w:pPr>
        <w:pStyle w:val="NormalWeb"/>
        <w:widowControl w:val="0"/>
        <w:spacing w:before="2" w:after="2"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rsidR="003605AD" w:rsidRDefault="003605AD" w:rsidP="003605AD">
      <w:pPr>
        <w:pStyle w:val="PargrafodaLista"/>
        <w:widowControl w:val="0"/>
        <w:tabs>
          <w:tab w:val="left" w:pos="993"/>
        </w:tabs>
        <w:ind w:left="1350"/>
        <w:rPr>
          <w:rFonts w:ascii="Trebuchet MS" w:hAnsi="Trebuchet MS" w:cs="Arial"/>
          <w:b/>
          <w:color w:val="000000"/>
        </w:rPr>
      </w:pPr>
    </w:p>
    <w:p w:rsidR="003605AD" w:rsidRPr="003605AD" w:rsidRDefault="003605AD" w:rsidP="003605AD">
      <w:pPr>
        <w:pStyle w:val="PargrafodaLista"/>
        <w:widowControl w:val="0"/>
        <w:numPr>
          <w:ilvl w:val="0"/>
          <w:numId w:val="8"/>
        </w:numPr>
        <w:tabs>
          <w:tab w:val="left" w:pos="993"/>
        </w:tabs>
        <w:rPr>
          <w:rFonts w:ascii="Trebuchet MS" w:hAnsi="Trebuchet MS" w:cs="Arial"/>
          <w:b/>
          <w:color w:val="000000"/>
        </w:rPr>
      </w:pPr>
      <w:r w:rsidRPr="003605AD">
        <w:rPr>
          <w:rFonts w:ascii="Trebuchet MS" w:hAnsi="Trebuchet MS" w:cs="Arial"/>
          <w:b/>
          <w:color w:val="000000"/>
        </w:rPr>
        <w:t>Risco de liquidez</w:t>
      </w:r>
    </w:p>
    <w:p w:rsidR="003605AD" w:rsidRPr="003605AD" w:rsidRDefault="003605AD" w:rsidP="003605AD">
      <w:pPr>
        <w:spacing w:line="247" w:lineRule="auto"/>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rsidR="003605AD" w:rsidRPr="003605AD" w:rsidRDefault="003605AD" w:rsidP="003605AD">
      <w:pPr>
        <w:spacing w:line="247" w:lineRule="auto"/>
        <w:ind w:left="993"/>
        <w:jc w:val="both"/>
        <w:rPr>
          <w:rFonts w:ascii="Trebuchet MS" w:hAnsi="Trebuchet MS" w:cs="Arial"/>
          <w:color w:val="000000"/>
          <w:sz w:val="22"/>
          <w:szCs w:val="22"/>
        </w:rPr>
      </w:pPr>
    </w:p>
    <w:p w:rsidR="003605AD" w:rsidRPr="003605AD" w:rsidRDefault="003605AD" w:rsidP="003605AD">
      <w:pPr>
        <w:spacing w:line="247" w:lineRule="auto"/>
        <w:ind w:left="993"/>
        <w:jc w:val="both"/>
        <w:rPr>
          <w:rFonts w:ascii="Trebuchet MS" w:hAnsi="Trebuchet MS" w:cs="Arial"/>
          <w:color w:val="000000"/>
          <w:sz w:val="22"/>
          <w:szCs w:val="22"/>
        </w:rPr>
      </w:pPr>
      <w:r w:rsidRPr="003605AD">
        <w:rPr>
          <w:rFonts w:ascii="Trebuchet MS" w:hAnsi="Trebuchet MS" w:cs="Arial"/>
          <w:color w:val="000000"/>
          <w:sz w:val="22"/>
          <w:szCs w:val="22"/>
        </w:rPr>
        <w:t>A administração monitora as previsões contínuas das exigências de liquidez da Entidade para assegurar que ela tenha caixa suficiente para atender às necessidades operacionais.</w:t>
      </w:r>
    </w:p>
    <w:p w:rsidR="003605AD" w:rsidRPr="00FD52B7" w:rsidRDefault="003605AD" w:rsidP="003605AD">
      <w:pPr>
        <w:ind w:left="426"/>
        <w:rPr>
          <w:rFonts w:ascii="Trebuchet MS" w:hAnsi="Trebuchet MS"/>
          <w:sz w:val="22"/>
          <w:szCs w:val="22"/>
          <w:lang w:eastAsia="pt-BR"/>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1A04DB" w:rsidRDefault="001A04DB" w:rsidP="003605AD">
      <w:pPr>
        <w:pStyle w:val="Ttulo3"/>
        <w:keepNext w:val="0"/>
        <w:tabs>
          <w:tab w:val="left" w:pos="426"/>
        </w:tabs>
        <w:spacing w:line="233" w:lineRule="auto"/>
        <w:rPr>
          <w:rFonts w:ascii="Trebuchet MS" w:hAnsi="Trebuchet MS" w:cs="Arial"/>
          <w:color w:val="000000"/>
          <w:sz w:val="22"/>
          <w:szCs w:val="22"/>
        </w:rPr>
      </w:pPr>
    </w:p>
    <w:p w:rsidR="003605AD" w:rsidRPr="003605AD" w:rsidRDefault="003605AD" w:rsidP="003605AD">
      <w:pPr>
        <w:pStyle w:val="Ttulo3"/>
        <w:keepNext w:val="0"/>
        <w:tabs>
          <w:tab w:val="left" w:pos="426"/>
        </w:tabs>
        <w:spacing w:line="233" w:lineRule="auto"/>
        <w:rPr>
          <w:rFonts w:ascii="Trebuchet MS" w:hAnsi="Trebuchet MS" w:cs="Arial"/>
          <w:b w:val="0"/>
          <w:color w:val="000000"/>
          <w:sz w:val="22"/>
          <w:szCs w:val="22"/>
        </w:rPr>
      </w:pPr>
      <w:r w:rsidRPr="003605AD">
        <w:rPr>
          <w:rFonts w:ascii="Trebuchet MS" w:hAnsi="Trebuchet MS" w:cs="Arial"/>
          <w:color w:val="000000"/>
          <w:sz w:val="22"/>
          <w:szCs w:val="22"/>
        </w:rPr>
        <w:t>5.</w:t>
      </w:r>
      <w:r w:rsidRPr="003605AD">
        <w:rPr>
          <w:rFonts w:ascii="Trebuchet MS" w:hAnsi="Trebuchet MS" w:cs="Arial"/>
          <w:color w:val="000000"/>
          <w:sz w:val="22"/>
          <w:szCs w:val="22"/>
        </w:rPr>
        <w:tab/>
        <w:t>Caixa e equivalentes de caixa</w:t>
      </w:r>
    </w:p>
    <w:p w:rsidR="003605AD" w:rsidRPr="003605AD" w:rsidRDefault="003605AD" w:rsidP="003605AD">
      <w:pPr>
        <w:widowControl w:val="0"/>
        <w:spacing w:line="216" w:lineRule="auto"/>
        <w:rPr>
          <w:rFonts w:ascii="Trebuchet MS" w:hAnsi="Trebuchet MS" w:cs="Arial"/>
          <w:color w:val="000000"/>
          <w:sz w:val="22"/>
          <w:szCs w:val="22"/>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lang w:val="pt-BR"/>
        </w:rPr>
      </w:pPr>
    </w:p>
    <w:bookmarkStart w:id="3" w:name="OLE_LINK1"/>
    <w:bookmarkStart w:id="4" w:name="OLE_LINK2"/>
    <w:bookmarkStart w:id="5" w:name="_MON_1484508904"/>
    <w:bookmarkEnd w:id="5"/>
    <w:p w:rsidR="003605AD" w:rsidRPr="003605AD" w:rsidRDefault="00036428" w:rsidP="00036428">
      <w:pPr>
        <w:pStyle w:val="Style"/>
        <w:autoSpaceDE/>
        <w:autoSpaceDN/>
        <w:adjustRightInd/>
        <w:spacing w:line="216" w:lineRule="auto"/>
        <w:ind w:left="426" w:hanging="426"/>
        <w:jc w:val="center"/>
        <w:rPr>
          <w:rFonts w:ascii="Trebuchet MS" w:hAnsi="Trebuchet MS" w:cs="Arial"/>
          <w:color w:val="000000"/>
          <w:sz w:val="22"/>
          <w:szCs w:val="22"/>
          <w:lang w:val="pt-BR"/>
        </w:rPr>
      </w:pPr>
      <w:r w:rsidRPr="003605AD">
        <w:rPr>
          <w:rFonts w:ascii="Trebuchet MS" w:hAnsi="Trebuchet MS" w:cs="Arial"/>
          <w:color w:val="000000"/>
          <w:sz w:val="22"/>
          <w:szCs w:val="22"/>
          <w:lang w:val="pt-BR"/>
        </w:rPr>
        <w:object w:dxaOrig="10536" w:dyaOrig="1889">
          <v:shape id="_x0000_i1027" type="#_x0000_t75" style="width:526.5pt;height:94.5pt" o:ole="">
            <v:imagedata r:id="rId23" o:title=""/>
          </v:shape>
          <o:OLEObject Type="Embed" ProgID="Excel.Sheet.12" ShapeID="_x0000_i1027" DrawAspect="Content" ObjectID="_1658753053" r:id="rId24"/>
        </w:object>
      </w:r>
      <w:bookmarkEnd w:id="3"/>
      <w:bookmarkEnd w:id="4"/>
    </w:p>
    <w:p w:rsid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036428" w:rsidRPr="003605AD" w:rsidRDefault="00036428" w:rsidP="003605AD">
      <w:pPr>
        <w:pStyle w:val="Style"/>
        <w:autoSpaceDE/>
        <w:autoSpaceDN/>
        <w:adjustRightInd/>
        <w:spacing w:line="233"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O expressivo aumento de valores em conta corrente deve-se a arrecadação do dia 31/12/2018, segunda-feira, dia no qual o CAU/RS não teve expediente não sendo possível realizar a aplicação financeira desses valores.</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r w:rsidRPr="00B110FB">
        <w:rPr>
          <w:rFonts w:ascii="Trebuchet MS" w:hAnsi="Trebuchet MS" w:cs="Arial"/>
          <w:color w:val="000000"/>
          <w:sz w:val="22"/>
          <w:szCs w:val="22"/>
          <w:lang w:val="pt-BR"/>
        </w:rPr>
        <w:t>As aplicações financeiras estão representadas por Certificados de Depósitos Bancários e títulos de renda fixa emitidos e compromissados pelas instituições financeiras de primeira linha, cujo rendimento está atrelado à variação do Certificado de Depósito Interbancário (CDI), e possuem liquidez imediata. A receita gerada por estes investimentos é registrada como receita no resultado corrente.</w:t>
      </w:r>
      <w:r w:rsidRPr="003605AD">
        <w:rPr>
          <w:rFonts w:ascii="Trebuchet MS" w:hAnsi="Trebuchet MS" w:cs="Arial"/>
          <w:color w:val="000000"/>
          <w:sz w:val="22"/>
          <w:szCs w:val="22"/>
          <w:lang w:val="pt-BR"/>
        </w:rPr>
        <w:t xml:space="preserve"> </w:t>
      </w:r>
    </w:p>
    <w:p w:rsidR="003605AD" w:rsidRPr="003605AD" w:rsidRDefault="003605AD" w:rsidP="003605AD">
      <w:pPr>
        <w:pStyle w:val="Style"/>
        <w:autoSpaceDE/>
        <w:autoSpaceDN/>
        <w:adjustRightInd/>
        <w:spacing w:line="233" w:lineRule="auto"/>
        <w:ind w:left="426"/>
        <w:jc w:val="both"/>
        <w:rPr>
          <w:rFonts w:ascii="Trebuchet MS" w:hAnsi="Trebuchet MS" w:cs="Arial"/>
          <w:color w:val="000000"/>
          <w:sz w:val="22"/>
          <w:szCs w:val="22"/>
          <w:lang w:val="pt-BR"/>
        </w:rPr>
      </w:pPr>
    </w:p>
    <w:p w:rsidR="003605AD" w:rsidRPr="003605AD" w:rsidRDefault="003605AD" w:rsidP="003605AD">
      <w:pPr>
        <w:spacing w:after="200" w:line="276" w:lineRule="auto"/>
        <w:rPr>
          <w:rFonts w:ascii="Trebuchet MS" w:hAnsi="Trebuchet MS" w:cs="Arial"/>
          <w:color w:val="000000"/>
          <w:sz w:val="22"/>
          <w:szCs w:val="22"/>
          <w:highlight w:val="yellow"/>
          <w:lang w:eastAsia="es-AR"/>
        </w:rPr>
      </w:pPr>
    </w:p>
    <w:p w:rsidR="003605AD" w:rsidRPr="003605AD" w:rsidRDefault="003605AD" w:rsidP="003605AD">
      <w:pPr>
        <w:pStyle w:val="Style"/>
        <w:autoSpaceDE/>
        <w:autoSpaceDN/>
        <w:adjustRightInd/>
        <w:spacing w:line="216" w:lineRule="auto"/>
        <w:rPr>
          <w:rFonts w:ascii="Trebuchet MS" w:hAnsi="Trebuchet MS" w:cs="Arial"/>
          <w:color w:val="000000"/>
          <w:sz w:val="22"/>
          <w:szCs w:val="22"/>
          <w:highlight w:val="yellow"/>
          <w:lang w:val="pt-BR"/>
        </w:rPr>
      </w:pPr>
    </w:p>
    <w:p w:rsidR="003605AD" w:rsidRPr="003605AD" w:rsidRDefault="00EC2638" w:rsidP="003605AD">
      <w:pPr>
        <w:pStyle w:val="Style"/>
        <w:widowControl/>
        <w:tabs>
          <w:tab w:val="left" w:pos="426"/>
        </w:tabs>
        <w:autoSpaceDE/>
        <w:autoSpaceDN/>
        <w:adjustRightInd/>
        <w:spacing w:line="235" w:lineRule="auto"/>
        <w:rPr>
          <w:rFonts w:ascii="Trebuchet MS" w:hAnsi="Trebuchet MS" w:cs="Arial"/>
          <w:b/>
          <w:color w:val="000000"/>
          <w:sz w:val="22"/>
          <w:szCs w:val="22"/>
          <w:lang w:val="pt-BR"/>
        </w:rPr>
      </w:pPr>
      <w:r>
        <w:rPr>
          <w:rFonts w:ascii="Trebuchet MS" w:hAnsi="Trebuchet MS" w:cs="Arial"/>
          <w:b/>
          <w:color w:val="000000"/>
          <w:sz w:val="22"/>
          <w:szCs w:val="22"/>
          <w:lang w:val="pt-BR"/>
        </w:rPr>
        <w:t>6.</w:t>
      </w:r>
      <w:r>
        <w:rPr>
          <w:rFonts w:ascii="Trebuchet MS" w:hAnsi="Trebuchet MS" w:cs="Arial"/>
          <w:b/>
          <w:color w:val="000000"/>
          <w:sz w:val="22"/>
          <w:szCs w:val="22"/>
          <w:lang w:val="pt-BR"/>
        </w:rPr>
        <w:tab/>
        <w:t>Créditos a Receber</w:t>
      </w:r>
    </w:p>
    <w:p w:rsidR="003605AD" w:rsidRPr="003605AD" w:rsidRDefault="003605AD" w:rsidP="003605AD">
      <w:pPr>
        <w:widowControl w:val="0"/>
        <w:spacing w:line="216" w:lineRule="auto"/>
        <w:rPr>
          <w:rFonts w:ascii="Trebuchet MS" w:hAnsi="Trebuchet MS" w:cs="Arial"/>
          <w:color w:val="000000"/>
          <w:sz w:val="22"/>
          <w:szCs w:val="22"/>
        </w:rPr>
      </w:pPr>
    </w:p>
    <w:bookmarkStart w:id="6" w:name="_MON_1484509717"/>
    <w:bookmarkEnd w:id="6"/>
    <w:p w:rsidR="003605AD" w:rsidRPr="003605AD" w:rsidRDefault="00244E1F" w:rsidP="003605AD">
      <w:pPr>
        <w:ind w:left="426"/>
        <w:rPr>
          <w:rFonts w:ascii="Trebuchet MS" w:hAnsi="Trebuchet MS" w:cs="Arial"/>
          <w:color w:val="000000"/>
          <w:sz w:val="22"/>
          <w:szCs w:val="22"/>
        </w:rPr>
      </w:pPr>
      <w:r w:rsidRPr="003605AD">
        <w:rPr>
          <w:rFonts w:ascii="Trebuchet MS" w:hAnsi="Trebuchet MS" w:cs="Arial"/>
          <w:color w:val="000000"/>
          <w:sz w:val="22"/>
          <w:szCs w:val="22"/>
        </w:rPr>
        <w:object w:dxaOrig="10149" w:dyaOrig="5644">
          <v:shape id="_x0000_i1028" type="#_x0000_t75" style="width:507pt;height:282.75pt" o:ole="">
            <v:imagedata r:id="rId25" o:title=""/>
          </v:shape>
          <o:OLEObject Type="Embed" ProgID="Excel.Sheet.12" ShapeID="_x0000_i1028" DrawAspect="Content" ObjectID="_1658753054" r:id="rId26"/>
        </w:object>
      </w:r>
    </w:p>
    <w:p w:rsidR="003605AD" w:rsidRPr="003605AD" w:rsidRDefault="003605AD"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t>Abertura por vencimento dos valores vencidos e a vencer:</w:t>
      </w:r>
    </w:p>
    <w:p w:rsidR="003605AD" w:rsidRPr="003605AD" w:rsidRDefault="003605AD" w:rsidP="003605AD">
      <w:pPr>
        <w:widowControl w:val="0"/>
        <w:spacing w:line="233" w:lineRule="auto"/>
        <w:ind w:left="426"/>
        <w:rPr>
          <w:rFonts w:ascii="Trebuchet MS" w:hAnsi="Trebuchet MS" w:cs="Arial"/>
          <w:color w:val="000000"/>
          <w:sz w:val="22"/>
          <w:szCs w:val="22"/>
        </w:rPr>
      </w:pPr>
    </w:p>
    <w:bookmarkStart w:id="7" w:name="_MON_1485696767"/>
    <w:bookmarkEnd w:id="7"/>
    <w:p w:rsidR="003605AD" w:rsidRPr="003605AD" w:rsidRDefault="00244E1F"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9636" w:dyaOrig="3904">
          <v:shape id="_x0000_i1029" type="#_x0000_t75" style="width:481.5pt;height:195.75pt" o:ole="">
            <v:imagedata r:id="rId27" o:title=""/>
          </v:shape>
          <o:OLEObject Type="Embed" ProgID="Excel.Sheet.12" ShapeID="_x0000_i1029" DrawAspect="Content" ObjectID="_1658753055" r:id="rId28"/>
        </w:object>
      </w:r>
    </w:p>
    <w:p w:rsidR="003605AD" w:rsidRPr="003605AD" w:rsidRDefault="003605AD" w:rsidP="003605AD">
      <w:pPr>
        <w:widowControl w:val="0"/>
        <w:spacing w:line="235" w:lineRule="auto"/>
        <w:ind w:left="426"/>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registra a provisão para perda estimada para créditos de liquidação duvidosa, após análise individualizada. </w:t>
      </w:r>
    </w:p>
    <w:p w:rsidR="003605AD" w:rsidRPr="003605AD" w:rsidRDefault="003605AD" w:rsidP="003605AD">
      <w:pPr>
        <w:widowControl w:val="0"/>
        <w:spacing w:line="235" w:lineRule="auto"/>
        <w:ind w:left="426"/>
        <w:rPr>
          <w:rFonts w:ascii="Trebuchet MS" w:hAnsi="Trebuchet MS" w:cs="Arial"/>
          <w:color w:val="000000"/>
          <w:sz w:val="22"/>
          <w:szCs w:val="22"/>
          <w:highlight w:val="yellow"/>
        </w:rPr>
      </w:pPr>
    </w:p>
    <w:p w:rsidR="003605AD" w:rsidRPr="003605AD" w:rsidRDefault="00EC2638" w:rsidP="003605AD">
      <w:pPr>
        <w:pStyle w:val="Style"/>
        <w:widowControl/>
        <w:tabs>
          <w:tab w:val="left" w:pos="426"/>
        </w:tabs>
        <w:autoSpaceDE/>
        <w:autoSpaceDN/>
        <w:adjustRightInd/>
        <w:spacing w:line="235" w:lineRule="auto"/>
        <w:rPr>
          <w:rFonts w:ascii="Trebuchet MS" w:hAnsi="Trebuchet MS" w:cs="Arial"/>
          <w:b/>
          <w:color w:val="000000"/>
          <w:sz w:val="22"/>
          <w:szCs w:val="22"/>
        </w:rPr>
      </w:pPr>
      <w:r>
        <w:rPr>
          <w:rFonts w:ascii="Trebuchet MS" w:hAnsi="Trebuchet MS" w:cs="Arial"/>
          <w:b/>
          <w:color w:val="000000"/>
          <w:sz w:val="22"/>
          <w:szCs w:val="22"/>
          <w:lang w:val="pt-BR"/>
        </w:rPr>
        <w:t>8</w:t>
      </w:r>
      <w:r w:rsidR="003605AD" w:rsidRPr="003605AD">
        <w:rPr>
          <w:rFonts w:ascii="Trebuchet MS" w:hAnsi="Trebuchet MS" w:cs="Arial"/>
          <w:b/>
          <w:color w:val="000000"/>
          <w:sz w:val="22"/>
          <w:szCs w:val="22"/>
          <w:lang w:val="pt-BR"/>
        </w:rPr>
        <w:t>.</w:t>
      </w:r>
      <w:r w:rsidR="003605AD" w:rsidRPr="003605AD">
        <w:rPr>
          <w:rFonts w:ascii="Trebuchet MS" w:hAnsi="Trebuchet MS" w:cs="Arial"/>
          <w:b/>
          <w:color w:val="000000"/>
          <w:sz w:val="22"/>
          <w:szCs w:val="22"/>
          <w:lang w:val="pt-BR"/>
        </w:rPr>
        <w:tab/>
        <w:t>Estoques</w:t>
      </w:r>
    </w:p>
    <w:p w:rsidR="003605AD" w:rsidRPr="003605AD" w:rsidRDefault="003605AD" w:rsidP="003605AD">
      <w:pPr>
        <w:widowControl w:val="0"/>
        <w:spacing w:line="235" w:lineRule="auto"/>
        <w:rPr>
          <w:rFonts w:ascii="Trebuchet MS" w:hAnsi="Trebuchet MS" w:cs="Arial"/>
          <w:color w:val="000000"/>
          <w:sz w:val="22"/>
          <w:szCs w:val="22"/>
        </w:rPr>
      </w:pPr>
    </w:p>
    <w:bookmarkStart w:id="8" w:name="_MON_1485697259"/>
    <w:bookmarkEnd w:id="8"/>
    <w:p w:rsidR="003605AD" w:rsidRPr="003605AD" w:rsidRDefault="00EC2638" w:rsidP="003605AD">
      <w:pPr>
        <w:widowControl w:val="0"/>
        <w:spacing w:line="233"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686" w:dyaOrig="3497">
          <v:shape id="_x0000_i1030" type="#_x0000_t75" style="width:435pt;height:175.5pt" o:ole="">
            <v:imagedata r:id="rId29" o:title=""/>
          </v:shape>
          <o:OLEObject Type="Embed" ProgID="Excel.Sheet.12" ShapeID="_x0000_i1030" DrawAspect="Content" ObjectID="_1658753056" r:id="rId30"/>
        </w:object>
      </w:r>
    </w:p>
    <w:p w:rsidR="003605AD" w:rsidRDefault="00EC2638"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7</w:t>
      </w:r>
      <w:r w:rsidR="004B6781">
        <w:rPr>
          <w:rFonts w:ascii="Trebuchet MS" w:hAnsi="Trebuchet MS" w:cs="Arial"/>
          <w:b/>
          <w:color w:val="000000"/>
          <w:sz w:val="22"/>
          <w:szCs w:val="22"/>
        </w:rPr>
        <w:t>.</w:t>
      </w:r>
      <w:r w:rsidR="004B6781">
        <w:rPr>
          <w:rFonts w:ascii="Trebuchet MS" w:hAnsi="Trebuchet MS" w:cs="Arial"/>
          <w:b/>
          <w:color w:val="000000"/>
          <w:sz w:val="22"/>
          <w:szCs w:val="22"/>
        </w:rPr>
        <w:tab/>
      </w:r>
      <w:r>
        <w:rPr>
          <w:rFonts w:ascii="Trebuchet MS" w:hAnsi="Trebuchet MS" w:cs="Arial"/>
          <w:b/>
          <w:color w:val="000000"/>
          <w:sz w:val="22"/>
          <w:szCs w:val="22"/>
        </w:rPr>
        <w:t>vpd amtecipadamente</w:t>
      </w:r>
    </w:p>
    <w:p w:rsidR="00EC2638" w:rsidRPr="003605AD" w:rsidRDefault="00EC2638" w:rsidP="003605AD">
      <w:pPr>
        <w:spacing w:after="200" w:line="276" w:lineRule="auto"/>
        <w:rPr>
          <w:rFonts w:ascii="Trebuchet MS" w:hAnsi="Trebuchet MS" w:cs="Arial"/>
          <w:b/>
          <w:color w:val="000000"/>
          <w:sz w:val="22"/>
          <w:szCs w:val="22"/>
        </w:rPr>
      </w:pPr>
      <w:r>
        <w:rPr>
          <w:rFonts w:ascii="Trebuchet MS" w:hAnsi="Trebuchet MS" w:cs="Arial"/>
          <w:b/>
          <w:color w:val="000000"/>
          <w:sz w:val="22"/>
          <w:szCs w:val="22"/>
        </w:rPr>
        <w:t>8.1. impostos</w:t>
      </w:r>
    </w:p>
    <w:p w:rsidR="003605AD" w:rsidRPr="003605AD" w:rsidRDefault="003605AD" w:rsidP="003605AD">
      <w:pPr>
        <w:widowControl w:val="0"/>
        <w:spacing w:line="235" w:lineRule="auto"/>
        <w:ind w:left="426"/>
        <w:rPr>
          <w:rFonts w:ascii="Trebuchet MS" w:hAnsi="Trebuchet MS" w:cs="Arial"/>
          <w:color w:val="000000"/>
          <w:sz w:val="22"/>
          <w:szCs w:val="22"/>
        </w:rPr>
      </w:pPr>
    </w:p>
    <w:bookmarkStart w:id="9" w:name="_MON_1485698501"/>
    <w:bookmarkEnd w:id="9"/>
    <w:p w:rsidR="003605AD" w:rsidRPr="003605AD" w:rsidRDefault="002203DB" w:rsidP="003605AD">
      <w:pPr>
        <w:widowControl w:val="0"/>
        <w:spacing w:line="235" w:lineRule="auto"/>
        <w:ind w:left="426"/>
        <w:rPr>
          <w:rFonts w:ascii="Trebuchet MS" w:hAnsi="Trebuchet MS" w:cs="Arial"/>
          <w:color w:val="000000"/>
          <w:sz w:val="22"/>
          <w:szCs w:val="22"/>
        </w:rPr>
      </w:pPr>
      <w:r w:rsidRPr="003605AD">
        <w:rPr>
          <w:rFonts w:ascii="Trebuchet MS" w:hAnsi="Trebuchet MS" w:cs="Arial"/>
          <w:color w:val="000000"/>
          <w:sz w:val="22"/>
          <w:szCs w:val="22"/>
        </w:rPr>
        <w:object w:dxaOrig="8719" w:dyaOrig="4031">
          <v:shape id="_x0000_i1031" type="#_x0000_t75" style="width:435.75pt;height:201.75pt" o:ole="">
            <v:imagedata r:id="rId31" o:title=""/>
          </v:shape>
          <o:OLEObject Type="Embed" ProgID="Excel.Sheet.12" ShapeID="_x0000_i1031" DrawAspect="Content" ObjectID="_1658753057" r:id="rId32"/>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B110FB" w:rsidRDefault="00EC2638" w:rsidP="003605AD">
      <w:pPr>
        <w:widowControl w:val="0"/>
        <w:tabs>
          <w:tab w:val="left" w:pos="426"/>
        </w:tabs>
        <w:spacing w:line="235" w:lineRule="auto"/>
        <w:ind w:left="284"/>
        <w:rPr>
          <w:rFonts w:ascii="Trebuchet MS" w:hAnsi="Trebuchet MS" w:cs="Arial"/>
          <w:b/>
          <w:color w:val="000000"/>
          <w:sz w:val="22"/>
          <w:szCs w:val="22"/>
        </w:rPr>
      </w:pPr>
      <w:r>
        <w:rPr>
          <w:rFonts w:ascii="Trebuchet MS" w:hAnsi="Trebuchet MS" w:cs="Arial"/>
          <w:b/>
          <w:color w:val="000000"/>
          <w:sz w:val="22"/>
          <w:szCs w:val="22"/>
        </w:rPr>
        <w:t>7</w:t>
      </w:r>
      <w:r w:rsidR="00B110FB" w:rsidRPr="00B110FB">
        <w:rPr>
          <w:rFonts w:ascii="Trebuchet MS" w:hAnsi="Trebuchet MS" w:cs="Arial"/>
          <w:b/>
          <w:color w:val="000000"/>
          <w:sz w:val="22"/>
          <w:szCs w:val="22"/>
        </w:rPr>
        <w:t>. Demais Créditos a Curto Prazo</w:t>
      </w:r>
    </w:p>
    <w:p w:rsidR="00B110FB" w:rsidRDefault="00B110FB" w:rsidP="003605AD">
      <w:pPr>
        <w:widowControl w:val="0"/>
        <w:tabs>
          <w:tab w:val="left" w:pos="426"/>
        </w:tabs>
        <w:spacing w:line="235" w:lineRule="auto"/>
        <w:ind w:left="284"/>
        <w:rPr>
          <w:rFonts w:ascii="Trebuchet MS" w:hAnsi="Trebuchet MS" w:cs="Arial"/>
          <w:b/>
          <w:color w:val="000000"/>
          <w:sz w:val="22"/>
          <w:szCs w:val="22"/>
        </w:rPr>
      </w:pPr>
    </w:p>
    <w:bookmarkStart w:id="10" w:name="_MON_1610261894"/>
    <w:bookmarkEnd w:id="10"/>
    <w:p w:rsidR="00B110FB" w:rsidRPr="00B110FB" w:rsidRDefault="002203DB" w:rsidP="003605AD">
      <w:pPr>
        <w:widowControl w:val="0"/>
        <w:tabs>
          <w:tab w:val="left" w:pos="426"/>
        </w:tabs>
        <w:spacing w:line="235" w:lineRule="auto"/>
        <w:ind w:left="284"/>
        <w:rPr>
          <w:rFonts w:ascii="Trebuchet MS" w:hAnsi="Trebuchet MS" w:cs="Arial"/>
          <w:b/>
          <w:color w:val="000000"/>
          <w:sz w:val="22"/>
          <w:szCs w:val="22"/>
        </w:rPr>
      </w:pPr>
      <w:r w:rsidRPr="003605AD">
        <w:rPr>
          <w:rFonts w:ascii="Trebuchet MS" w:hAnsi="Trebuchet MS" w:cs="Arial"/>
          <w:color w:val="000000"/>
          <w:sz w:val="22"/>
          <w:szCs w:val="22"/>
        </w:rPr>
        <w:object w:dxaOrig="8719" w:dyaOrig="2627">
          <v:shape id="_x0000_i1032" type="#_x0000_t75" style="width:435.75pt;height:131.25pt" o:ole="">
            <v:imagedata r:id="rId33" o:title=""/>
          </v:shape>
          <o:OLEObject Type="Embed" ProgID="Excel.Sheet.12" ShapeID="_x0000_i1032" DrawAspect="Content" ObjectID="_1658753058" r:id="rId34"/>
        </w:object>
      </w:r>
    </w:p>
    <w:p w:rsidR="00B110FB" w:rsidRDefault="00B110FB" w:rsidP="003605AD">
      <w:pPr>
        <w:widowControl w:val="0"/>
        <w:tabs>
          <w:tab w:val="left" w:pos="426"/>
        </w:tabs>
        <w:spacing w:line="235" w:lineRule="auto"/>
        <w:ind w:left="284"/>
        <w:rPr>
          <w:rFonts w:ascii="Trebuchet MS" w:hAnsi="Trebuchet MS" w:cs="Arial"/>
          <w:b/>
          <w:color w:val="000000"/>
          <w:sz w:val="22"/>
          <w:szCs w:val="22"/>
          <w:highlight w:val="yellow"/>
        </w:rPr>
      </w:pPr>
    </w:p>
    <w:p w:rsidR="00BD4D39" w:rsidRDefault="00BD4D39" w:rsidP="003605AD">
      <w:pPr>
        <w:widowControl w:val="0"/>
        <w:tabs>
          <w:tab w:val="left" w:pos="426"/>
        </w:tabs>
        <w:spacing w:line="235" w:lineRule="auto"/>
        <w:ind w:left="284"/>
        <w:rPr>
          <w:rFonts w:ascii="Trebuchet MS" w:hAnsi="Trebuchet MS" w:cs="Arial"/>
          <w:b/>
          <w:color w:val="000000"/>
          <w:sz w:val="22"/>
          <w:szCs w:val="22"/>
        </w:rPr>
      </w:pPr>
      <w:r w:rsidRPr="00BD4D39">
        <w:rPr>
          <w:rFonts w:ascii="Trebuchet MS" w:hAnsi="Trebuchet MS" w:cs="Arial"/>
          <w:b/>
          <w:color w:val="000000"/>
          <w:sz w:val="22"/>
          <w:szCs w:val="22"/>
        </w:rPr>
        <w:t>10. Variações Patrimoniais Diminutivas Pagas A</w:t>
      </w:r>
      <w:r>
        <w:rPr>
          <w:rFonts w:ascii="Trebuchet MS" w:hAnsi="Trebuchet MS" w:cs="Arial"/>
          <w:b/>
          <w:color w:val="000000"/>
          <w:sz w:val="22"/>
          <w:szCs w:val="22"/>
        </w:rPr>
        <w:t>n</w:t>
      </w:r>
      <w:r w:rsidRPr="00BD4D39">
        <w:rPr>
          <w:rFonts w:ascii="Trebuchet MS" w:hAnsi="Trebuchet MS" w:cs="Arial"/>
          <w:b/>
          <w:color w:val="000000"/>
          <w:sz w:val="22"/>
          <w:szCs w:val="22"/>
        </w:rPr>
        <w:t>tecipadamente</w:t>
      </w:r>
    </w:p>
    <w:p w:rsidR="00BD4D39" w:rsidRPr="00BD4D39" w:rsidRDefault="00BD4D39" w:rsidP="003605AD">
      <w:pPr>
        <w:widowControl w:val="0"/>
        <w:tabs>
          <w:tab w:val="left" w:pos="426"/>
        </w:tabs>
        <w:spacing w:line="235" w:lineRule="auto"/>
        <w:ind w:left="284"/>
        <w:rPr>
          <w:rFonts w:ascii="Trebuchet MS" w:hAnsi="Trebuchet MS" w:cs="Arial"/>
          <w:b/>
          <w:color w:val="000000"/>
          <w:sz w:val="22"/>
          <w:szCs w:val="22"/>
        </w:rPr>
      </w:pPr>
    </w:p>
    <w:bookmarkStart w:id="11" w:name="_MON_1609826034"/>
    <w:bookmarkEnd w:id="11"/>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r w:rsidRPr="003605AD">
        <w:rPr>
          <w:rFonts w:ascii="Trebuchet MS" w:hAnsi="Trebuchet MS" w:cs="Arial"/>
          <w:color w:val="000000"/>
          <w:sz w:val="22"/>
          <w:szCs w:val="22"/>
        </w:rPr>
        <w:object w:dxaOrig="8719" w:dyaOrig="2627">
          <v:shape id="_x0000_i1033" type="#_x0000_t75" style="width:435.75pt;height:131.25pt" o:ole="">
            <v:imagedata r:id="rId35" o:title=""/>
          </v:shape>
          <o:OLEObject Type="Embed" ProgID="Excel.Sheet.12" ShapeID="_x0000_i1033" DrawAspect="Content" ObjectID="_1658753059" r:id="rId36"/>
        </w:object>
      </w:r>
    </w:p>
    <w:p w:rsidR="00BD4D39" w:rsidRDefault="00BD4D39" w:rsidP="003605AD">
      <w:pPr>
        <w:widowControl w:val="0"/>
        <w:tabs>
          <w:tab w:val="left" w:pos="426"/>
        </w:tabs>
        <w:spacing w:line="235" w:lineRule="auto"/>
        <w:ind w:left="284"/>
        <w:rPr>
          <w:rFonts w:ascii="Trebuchet MS" w:hAnsi="Trebuchet MS" w:cs="Arial"/>
          <w:b/>
          <w:color w:val="000000"/>
          <w:sz w:val="22"/>
          <w:szCs w:val="22"/>
          <w:highlight w:val="yellow"/>
        </w:rPr>
      </w:pPr>
    </w:p>
    <w:p w:rsidR="003605AD" w:rsidRPr="003605AD" w:rsidRDefault="00BD4D39" w:rsidP="003605AD">
      <w:pPr>
        <w:widowControl w:val="0"/>
        <w:tabs>
          <w:tab w:val="left" w:pos="426"/>
        </w:tabs>
        <w:spacing w:line="235" w:lineRule="auto"/>
        <w:ind w:left="284"/>
        <w:rPr>
          <w:rFonts w:ascii="Trebuchet MS" w:hAnsi="Trebuchet MS" w:cs="Arial"/>
          <w:b/>
          <w:color w:val="000000"/>
          <w:sz w:val="22"/>
          <w:szCs w:val="22"/>
        </w:rPr>
      </w:pPr>
      <w:r w:rsidRPr="00FA6F89">
        <w:rPr>
          <w:rFonts w:ascii="Trebuchet MS" w:hAnsi="Trebuchet MS" w:cs="Arial"/>
          <w:b/>
          <w:color w:val="000000"/>
          <w:sz w:val="22"/>
          <w:szCs w:val="22"/>
        </w:rPr>
        <w:t>11</w:t>
      </w:r>
      <w:r w:rsidR="003605AD" w:rsidRPr="00FA6F89">
        <w:rPr>
          <w:rFonts w:ascii="Trebuchet MS" w:hAnsi="Trebuchet MS" w:cs="Arial"/>
          <w:b/>
          <w:color w:val="000000"/>
          <w:sz w:val="22"/>
          <w:szCs w:val="22"/>
        </w:rPr>
        <w:t>.</w:t>
      </w:r>
      <w:r w:rsidR="003605AD" w:rsidRPr="00FA6F89">
        <w:rPr>
          <w:rFonts w:ascii="Trebuchet MS" w:hAnsi="Trebuchet MS" w:cs="Arial"/>
          <w:b/>
          <w:color w:val="000000"/>
          <w:sz w:val="22"/>
          <w:szCs w:val="22"/>
        </w:rPr>
        <w:tab/>
        <w:t>Imobilizado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709"/>
        <w:jc w:val="both"/>
        <w:rPr>
          <w:rFonts w:ascii="Trebuchet MS" w:hAnsi="Trebuchet MS" w:cs="Arial"/>
          <w:color w:val="000000"/>
          <w:sz w:val="22"/>
          <w:szCs w:val="22"/>
        </w:rPr>
      </w:pPr>
      <w:r w:rsidRPr="003605AD">
        <w:rPr>
          <w:rFonts w:ascii="Trebuchet MS" w:hAnsi="Trebuchet MS" w:cs="Arial"/>
          <w:color w:val="000000"/>
          <w:sz w:val="22"/>
          <w:szCs w:val="22"/>
        </w:rPr>
        <w:t xml:space="preserve">A Entidade acompanha anualmente as vidas úteis dos ativos imobilizados e não foram identificadas diferenças significativas durante o ano. </w:t>
      </w:r>
    </w:p>
    <w:p w:rsidR="003605AD" w:rsidRPr="003605AD" w:rsidRDefault="003605AD" w:rsidP="003605AD">
      <w:pPr>
        <w:widowControl w:val="0"/>
        <w:ind w:left="709"/>
        <w:rPr>
          <w:rFonts w:ascii="Trebuchet MS" w:hAnsi="Trebuchet MS" w:cs="Arial"/>
          <w:color w:val="000000"/>
          <w:sz w:val="22"/>
          <w:szCs w:val="22"/>
        </w:rPr>
      </w:pPr>
    </w:p>
    <w:p w:rsidR="00406E75" w:rsidRDefault="00406E75" w:rsidP="003605AD">
      <w:pPr>
        <w:widowControl w:val="0"/>
        <w:ind w:left="709"/>
        <w:rPr>
          <w:rFonts w:ascii="Trebuchet MS" w:hAnsi="Trebuchet MS" w:cs="Arial"/>
          <w:color w:val="000000"/>
          <w:sz w:val="22"/>
          <w:szCs w:val="22"/>
        </w:rPr>
      </w:pPr>
    </w:p>
    <w:bookmarkStart w:id="12" w:name="_MON_1485701736"/>
    <w:bookmarkEnd w:id="12"/>
    <w:p w:rsidR="00406E75" w:rsidRDefault="00CB4212" w:rsidP="003605AD">
      <w:pPr>
        <w:widowControl w:val="0"/>
        <w:ind w:left="709"/>
        <w:rPr>
          <w:rFonts w:ascii="Trebuchet MS" w:hAnsi="Trebuchet MS" w:cs="Arial"/>
          <w:color w:val="000000"/>
          <w:sz w:val="22"/>
          <w:szCs w:val="22"/>
        </w:rPr>
      </w:pPr>
      <w:r w:rsidRPr="003605AD">
        <w:rPr>
          <w:rFonts w:ascii="Trebuchet MS" w:hAnsi="Trebuchet MS" w:cs="Arial"/>
          <w:color w:val="000000"/>
          <w:sz w:val="22"/>
          <w:szCs w:val="22"/>
        </w:rPr>
        <w:object w:dxaOrig="8762" w:dyaOrig="3890">
          <v:shape id="_x0000_i1034" type="#_x0000_t75" style="width:438.75pt;height:194.25pt" o:ole="">
            <v:imagedata r:id="rId37" o:title=""/>
          </v:shape>
          <o:OLEObject Type="Embed" ProgID="Excel.Sheet.12" ShapeID="_x0000_i1034" DrawAspect="Content" ObjectID="_1658753060" r:id="rId38"/>
        </w:object>
      </w:r>
    </w:p>
    <w:p w:rsidR="003605AD" w:rsidRPr="003605AD" w:rsidRDefault="00CB4212" w:rsidP="003605AD">
      <w:pPr>
        <w:widowControl w:val="0"/>
        <w:ind w:left="709"/>
        <w:rPr>
          <w:rFonts w:ascii="Trebuchet MS" w:hAnsi="Trebuchet MS" w:cs="Arial"/>
          <w:color w:val="000000"/>
          <w:sz w:val="22"/>
          <w:szCs w:val="22"/>
        </w:rPr>
      </w:pPr>
      <w:r w:rsidRPr="003605AD">
        <w:rPr>
          <w:rFonts w:ascii="Trebuchet MS" w:hAnsi="Trebuchet MS" w:cs="Arial"/>
          <w:noProof/>
          <w:color w:val="000000"/>
        </w:rPr>
        <w:pict>
          <v:shape id="_x0000_s1026" type="#_x0000_t75" style="position:absolute;left:0;text-align:left;margin-left:35.45pt;margin-top:103.65pt;width:388.7pt;height:216.05pt;z-index:251657728">
            <v:imagedata r:id="rId39" o:title=""/>
            <w10:wrap type="square" side="right"/>
          </v:shape>
          <o:OLEObject Type="Embed" ProgID="Excel.Sheet.12" ShapeID="_x0000_s1026" DrawAspect="Content" ObjectID="_1658753071" r:id="rId40"/>
        </w:pict>
      </w:r>
      <w:r w:rsidR="003605AD" w:rsidRPr="003605AD">
        <w:rPr>
          <w:rFonts w:ascii="Trebuchet MS" w:hAnsi="Trebuchet MS" w:cs="Arial"/>
          <w:color w:val="000000"/>
          <w:sz w:val="22"/>
          <w:szCs w:val="22"/>
        </w:rPr>
        <w:t>A seguir apresentamos a movimentação do ativo imobilizado:</w:t>
      </w:r>
    </w:p>
    <w:p w:rsidR="003605AD" w:rsidRPr="003605AD" w:rsidRDefault="003605AD" w:rsidP="003605AD">
      <w:pPr>
        <w:spacing w:after="200" w:line="276" w:lineRule="auto"/>
        <w:rPr>
          <w:rFonts w:ascii="Trebuchet MS" w:hAnsi="Trebuchet MS" w:cs="Arial"/>
          <w:color w:val="000000"/>
          <w:sz w:val="22"/>
          <w:szCs w:val="22"/>
          <w:u w:val="single"/>
          <w:lang w:eastAsia="pt-BR"/>
        </w:rPr>
      </w:pP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r w:rsidRPr="003605AD">
        <w:rPr>
          <w:rFonts w:ascii="Trebuchet MS" w:hAnsi="Trebuchet MS" w:cs="Arial"/>
          <w:color w:val="000000"/>
          <w:sz w:val="22"/>
          <w:szCs w:val="22"/>
          <w:u w:val="single"/>
        </w:rPr>
        <w:t>Movimentação do ativo imobilizado:</w:t>
      </w:r>
    </w:p>
    <w:p w:rsidR="003605AD" w:rsidRPr="003605AD" w:rsidRDefault="003605AD" w:rsidP="003605AD">
      <w:pPr>
        <w:pStyle w:val="Corpodetexto"/>
        <w:spacing w:line="252" w:lineRule="auto"/>
        <w:ind w:left="426"/>
        <w:rPr>
          <w:rFonts w:ascii="Trebuchet MS" w:hAnsi="Trebuchet MS" w:cs="Arial"/>
          <w:color w:val="000000"/>
          <w:sz w:val="22"/>
          <w:szCs w:val="22"/>
          <w:u w:val="single"/>
        </w:rPr>
      </w:pPr>
    </w:p>
    <w:p w:rsidR="003605AD" w:rsidRPr="003605AD" w:rsidRDefault="005F21D6"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ab/>
      </w:r>
    </w:p>
    <w:p w:rsidR="003605AD" w:rsidRDefault="003605AD"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CB4212" w:rsidRDefault="00CB4212" w:rsidP="003605AD">
      <w:pPr>
        <w:pStyle w:val="Corpodetexto"/>
        <w:spacing w:line="252" w:lineRule="auto"/>
        <w:ind w:left="426"/>
        <w:rPr>
          <w:rFonts w:ascii="Trebuchet MS" w:hAnsi="Trebuchet MS" w:cs="Arial"/>
          <w:color w:val="000000"/>
          <w:sz w:val="22"/>
          <w:szCs w:val="22"/>
        </w:rPr>
      </w:pPr>
    </w:p>
    <w:p w:rsidR="005F21D6" w:rsidRPr="003605AD" w:rsidRDefault="00EA5769" w:rsidP="003605AD">
      <w:pPr>
        <w:pStyle w:val="Corpodetexto"/>
        <w:spacing w:line="252" w:lineRule="auto"/>
        <w:ind w:left="426"/>
        <w:rPr>
          <w:rFonts w:ascii="Trebuchet MS" w:hAnsi="Trebuchet MS" w:cs="Arial"/>
          <w:color w:val="000000"/>
          <w:sz w:val="22"/>
          <w:szCs w:val="22"/>
        </w:rPr>
      </w:pPr>
      <w:r>
        <w:rPr>
          <w:rFonts w:ascii="Trebuchet MS" w:hAnsi="Trebuchet MS" w:cs="Arial"/>
          <w:color w:val="000000"/>
          <w:sz w:val="22"/>
          <w:szCs w:val="22"/>
        </w:rPr>
        <w:t xml:space="preserve">A baixa de equipamentos de processamento de dados refere-se a um notebook que apresentou defeito e foi substituído em garantia, sendo feita a baixa do equipamento defeituoso e adição do equipamento novo recebido em garantia. </w:t>
      </w:r>
      <w:r w:rsidR="00223D98">
        <w:rPr>
          <w:rFonts w:ascii="Trebuchet MS" w:hAnsi="Trebuchet MS" w:cs="Arial"/>
          <w:color w:val="000000"/>
          <w:sz w:val="22"/>
          <w:szCs w:val="22"/>
        </w:rPr>
        <w:t>As baixas de máquinas e equipamentos referem-se a bens inservíveis doados à</w:t>
      </w:r>
      <w:r w:rsidR="00CB4212">
        <w:rPr>
          <w:rFonts w:ascii="Trebuchet MS" w:hAnsi="Trebuchet MS" w:cs="Arial"/>
          <w:color w:val="000000"/>
          <w:sz w:val="22"/>
          <w:szCs w:val="22"/>
        </w:rPr>
        <w:t>s</w:t>
      </w:r>
      <w:r w:rsidR="00223D98">
        <w:rPr>
          <w:rFonts w:ascii="Trebuchet MS" w:hAnsi="Trebuchet MS" w:cs="Arial"/>
          <w:color w:val="000000"/>
          <w:sz w:val="22"/>
          <w:szCs w:val="22"/>
        </w:rPr>
        <w:t xml:space="preserve"> entidades conforme o processo administrativo nº 293/2017.</w:t>
      </w:r>
    </w:p>
    <w:p w:rsidR="003605AD" w:rsidRPr="003605AD" w:rsidRDefault="003605AD" w:rsidP="003605AD">
      <w:pPr>
        <w:widowControl w:val="0"/>
        <w:tabs>
          <w:tab w:val="left" w:pos="426"/>
        </w:tabs>
        <w:rPr>
          <w:rFonts w:ascii="Trebuchet MS" w:hAnsi="Trebuchet MS" w:cs="Arial"/>
          <w:b/>
          <w:color w:val="000000"/>
          <w:sz w:val="22"/>
          <w:szCs w:val="22"/>
        </w:rPr>
      </w:pPr>
    </w:p>
    <w:p w:rsidR="003605AD" w:rsidRPr="003605AD" w:rsidRDefault="003605AD" w:rsidP="003605AD">
      <w:pPr>
        <w:widowControl w:val="0"/>
        <w:tabs>
          <w:tab w:val="left" w:pos="426"/>
        </w:tabs>
        <w:rPr>
          <w:rFonts w:ascii="Trebuchet MS" w:hAnsi="Trebuchet MS" w:cs="Arial"/>
          <w:b/>
          <w:color w:val="000000"/>
          <w:sz w:val="22"/>
          <w:szCs w:val="22"/>
        </w:rPr>
      </w:pPr>
      <w:r w:rsidRPr="003605AD">
        <w:rPr>
          <w:rFonts w:ascii="Trebuchet MS" w:hAnsi="Trebuchet MS" w:cs="Arial"/>
          <w:b/>
          <w:color w:val="000000"/>
          <w:sz w:val="22"/>
          <w:szCs w:val="22"/>
        </w:rPr>
        <w:t>1</w:t>
      </w:r>
      <w:r w:rsidR="00BD4D39">
        <w:rPr>
          <w:rFonts w:ascii="Trebuchet MS" w:hAnsi="Trebuchet MS" w:cs="Arial"/>
          <w:b/>
          <w:color w:val="000000"/>
          <w:sz w:val="22"/>
          <w:szCs w:val="22"/>
        </w:rPr>
        <w:t>2</w:t>
      </w:r>
      <w:r w:rsidRPr="003605AD">
        <w:rPr>
          <w:rFonts w:ascii="Trebuchet MS" w:hAnsi="Trebuchet MS" w:cs="Arial"/>
          <w:b/>
          <w:color w:val="000000"/>
          <w:sz w:val="22"/>
          <w:szCs w:val="22"/>
        </w:rPr>
        <w:t>.</w:t>
      </w:r>
      <w:r w:rsidR="00CB4212">
        <w:rPr>
          <w:rFonts w:ascii="Trebuchet MS" w:hAnsi="Trebuchet MS" w:cs="Arial"/>
          <w:b/>
          <w:color w:val="000000"/>
          <w:sz w:val="22"/>
          <w:szCs w:val="22"/>
        </w:rPr>
        <w:t xml:space="preserve"> </w:t>
      </w:r>
      <w:r w:rsidRPr="003605AD">
        <w:rPr>
          <w:rFonts w:ascii="Trebuchet MS" w:hAnsi="Trebuchet MS" w:cs="Arial"/>
          <w:b/>
          <w:color w:val="000000"/>
          <w:sz w:val="22"/>
          <w:szCs w:val="22"/>
        </w:rPr>
        <w:t>Intangível</w:t>
      </w:r>
    </w:p>
    <w:p w:rsidR="003605AD" w:rsidRPr="003605AD" w:rsidRDefault="003605AD" w:rsidP="003605AD">
      <w:pPr>
        <w:widowControl w:val="0"/>
        <w:tabs>
          <w:tab w:val="left" w:pos="426"/>
        </w:tabs>
        <w:rPr>
          <w:rFonts w:ascii="Trebuchet MS" w:hAnsi="Trebuchet MS" w:cs="Arial"/>
          <w:b/>
          <w:color w:val="000000"/>
          <w:sz w:val="22"/>
          <w:szCs w:val="22"/>
        </w:rPr>
      </w:pPr>
    </w:p>
    <w:bookmarkStart w:id="13" w:name="_MON_1484330578"/>
    <w:bookmarkEnd w:id="13"/>
    <w:p w:rsidR="003605AD" w:rsidRPr="003605AD" w:rsidRDefault="00BD4D39" w:rsidP="003605AD">
      <w:pPr>
        <w:widowControl w:val="0"/>
        <w:tabs>
          <w:tab w:val="left" w:pos="426"/>
        </w:tabs>
        <w:ind w:left="426"/>
        <w:rPr>
          <w:rFonts w:ascii="Trebuchet MS" w:hAnsi="Trebuchet MS" w:cs="Arial"/>
          <w:color w:val="000000"/>
          <w:sz w:val="22"/>
          <w:szCs w:val="22"/>
        </w:rPr>
      </w:pPr>
      <w:r w:rsidRPr="003605AD">
        <w:rPr>
          <w:rFonts w:ascii="Trebuchet MS" w:hAnsi="Trebuchet MS" w:cs="Arial"/>
          <w:b/>
          <w:color w:val="000000"/>
          <w:sz w:val="22"/>
          <w:szCs w:val="22"/>
        </w:rPr>
        <w:object w:dxaOrig="8542" w:dyaOrig="1700">
          <v:shape id="_x0000_i1035" type="#_x0000_t75" style="width:426.75pt;height:85.5pt" o:ole="">
            <v:imagedata r:id="rId41" o:title=""/>
          </v:shape>
          <o:OLEObject Type="Embed" ProgID="Excel.Sheet.12" ShapeID="_x0000_i1035" DrawAspect="Content" ObjectID="_1658753061" r:id="rId42"/>
        </w:object>
      </w: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BD4D39">
        <w:rPr>
          <w:rFonts w:ascii="Trebuchet MS" w:hAnsi="Trebuchet MS" w:cs="Arial"/>
          <w:b/>
          <w:color w:val="000000"/>
          <w:sz w:val="22"/>
          <w:szCs w:val="22"/>
        </w:rPr>
        <w:t>3</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Fornecedores a pagar</w:t>
      </w:r>
    </w:p>
    <w:p w:rsidR="003605AD" w:rsidRPr="003605AD" w:rsidRDefault="003605AD" w:rsidP="003605AD">
      <w:pPr>
        <w:widowControl w:val="0"/>
        <w:spacing w:line="252" w:lineRule="auto"/>
        <w:rPr>
          <w:rFonts w:ascii="Trebuchet MS" w:hAnsi="Trebuchet MS" w:cs="Arial"/>
          <w:color w:val="000000"/>
          <w:sz w:val="22"/>
          <w:szCs w:val="22"/>
        </w:rPr>
      </w:pPr>
    </w:p>
    <w:bookmarkStart w:id="14" w:name="_MON_1485704500"/>
    <w:bookmarkEnd w:id="14"/>
    <w:p w:rsidR="003605AD" w:rsidRPr="003605AD" w:rsidRDefault="00E936E8" w:rsidP="00EA5769">
      <w:pPr>
        <w:widowControl w:val="0"/>
        <w:spacing w:line="233" w:lineRule="auto"/>
        <w:ind w:left="284" w:firstLine="142"/>
        <w:jc w:val="center"/>
        <w:rPr>
          <w:rFonts w:ascii="Trebuchet MS" w:hAnsi="Trebuchet MS" w:cs="Arial"/>
          <w:color w:val="000000"/>
          <w:sz w:val="22"/>
          <w:szCs w:val="22"/>
        </w:rPr>
      </w:pPr>
      <w:r w:rsidRPr="003605AD">
        <w:rPr>
          <w:rFonts w:ascii="Trebuchet MS" w:hAnsi="Trebuchet MS" w:cs="Arial"/>
          <w:color w:val="000000"/>
          <w:sz w:val="22"/>
          <w:szCs w:val="22"/>
        </w:rPr>
        <w:object w:dxaOrig="8944" w:dyaOrig="2655">
          <v:shape id="_x0000_i1036" type="#_x0000_t75" style="width:447pt;height:132.75pt" o:ole="">
            <v:imagedata r:id="rId43" o:title=""/>
          </v:shape>
          <o:OLEObject Type="Embed" ProgID="Excel.Sheet.12" ShapeID="_x0000_i1036" DrawAspect="Content" ObjectID="_1658753062" r:id="rId44"/>
        </w:object>
      </w:r>
    </w:p>
    <w:p w:rsidR="00331DD0" w:rsidRDefault="003605AD" w:rsidP="00B26FC9">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t>Abaixo o aging list dos fornecedores em 31 de dezembro de 2018 e 2017:</w:t>
      </w:r>
    </w:p>
    <w:p w:rsidR="00331DD0" w:rsidRDefault="00331DD0" w:rsidP="003605AD">
      <w:pPr>
        <w:tabs>
          <w:tab w:val="left" w:pos="426"/>
          <w:tab w:val="left" w:pos="993"/>
        </w:tabs>
        <w:rPr>
          <w:rFonts w:ascii="Trebuchet MS" w:hAnsi="Trebuchet MS" w:cs="Arial"/>
          <w:color w:val="000000"/>
          <w:sz w:val="22"/>
          <w:szCs w:val="22"/>
        </w:rPr>
      </w:pPr>
    </w:p>
    <w:bookmarkStart w:id="15" w:name="_MON_1541072226"/>
    <w:bookmarkEnd w:id="15"/>
    <w:p w:rsidR="003605AD" w:rsidRPr="003605AD" w:rsidRDefault="00103169" w:rsidP="00EA5769">
      <w:pPr>
        <w:tabs>
          <w:tab w:val="left" w:pos="426"/>
          <w:tab w:val="left" w:pos="993"/>
        </w:tabs>
        <w:jc w:val="center"/>
        <w:rPr>
          <w:rFonts w:ascii="Trebuchet MS" w:hAnsi="Trebuchet MS" w:cs="Arial"/>
          <w:b/>
          <w:color w:val="000000"/>
          <w:sz w:val="22"/>
          <w:szCs w:val="22"/>
        </w:rPr>
      </w:pPr>
      <w:r w:rsidRPr="003605AD">
        <w:rPr>
          <w:rFonts w:ascii="Trebuchet MS" w:hAnsi="Trebuchet MS" w:cs="Arial"/>
          <w:color w:val="000000"/>
          <w:sz w:val="22"/>
          <w:szCs w:val="22"/>
        </w:rPr>
        <w:object w:dxaOrig="8607" w:dyaOrig="2773">
          <v:shape id="_x0000_i1037" type="#_x0000_t75" style="width:429.75pt;height:138.75pt" o:ole="">
            <v:imagedata r:id="rId45" o:title=""/>
          </v:shape>
          <o:OLEObject Type="Embed" ProgID="Excel.Sheet.12" ShapeID="_x0000_i1037" DrawAspect="Content" ObjectID="_1658753063" r:id="rId46"/>
        </w:object>
      </w:r>
    </w:p>
    <w:p w:rsidR="00331DD0" w:rsidRDefault="00331DD0" w:rsidP="003605AD">
      <w:pPr>
        <w:tabs>
          <w:tab w:val="left" w:pos="426"/>
          <w:tab w:val="left" w:pos="993"/>
        </w:tabs>
        <w:rPr>
          <w:rFonts w:ascii="Trebuchet MS" w:hAnsi="Trebuchet MS" w:cs="Arial"/>
          <w:b/>
          <w:color w:val="000000"/>
          <w:sz w:val="22"/>
          <w:szCs w:val="22"/>
        </w:rPr>
      </w:pPr>
      <w:r>
        <w:rPr>
          <w:rFonts w:ascii="Trebuchet MS" w:hAnsi="Trebuchet MS" w:cs="Arial"/>
          <w:b/>
          <w:color w:val="000000"/>
          <w:sz w:val="22"/>
          <w:szCs w:val="22"/>
        </w:rPr>
        <w:t>1</w:t>
      </w:r>
      <w:r w:rsidR="00BD4D39">
        <w:rPr>
          <w:rFonts w:ascii="Trebuchet MS" w:hAnsi="Trebuchet MS" w:cs="Arial"/>
          <w:b/>
          <w:color w:val="000000"/>
          <w:sz w:val="22"/>
          <w:szCs w:val="22"/>
        </w:rPr>
        <w:t>4</w:t>
      </w:r>
      <w:r>
        <w:rPr>
          <w:rFonts w:ascii="Trebuchet MS" w:hAnsi="Trebuchet MS" w:cs="Arial"/>
          <w:b/>
          <w:color w:val="000000"/>
          <w:sz w:val="22"/>
          <w:szCs w:val="22"/>
        </w:rPr>
        <w:t>. Provisões de Curto Prazo</w:t>
      </w:r>
    </w:p>
    <w:p w:rsidR="00331DD0" w:rsidRDefault="00331DD0" w:rsidP="003605AD">
      <w:pPr>
        <w:tabs>
          <w:tab w:val="left" w:pos="426"/>
          <w:tab w:val="left" w:pos="993"/>
        </w:tabs>
        <w:rPr>
          <w:rFonts w:ascii="Trebuchet MS" w:hAnsi="Trebuchet MS" w:cs="Arial"/>
          <w:b/>
          <w:color w:val="000000"/>
          <w:sz w:val="22"/>
          <w:szCs w:val="22"/>
        </w:rPr>
      </w:pPr>
    </w:p>
    <w:p w:rsidR="00331DD0" w:rsidRDefault="00331DD0"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 xml:space="preserve">As provisões de curto prazo referem-se as provisões para férias, 13º salário e seus respectivos encargos, sendo contabilizadas conforme relatório fornecido pela empresa terceirizada responsável pela folha de pagamento do CAU/RS. </w:t>
      </w:r>
    </w:p>
    <w:p w:rsidR="00331DD0" w:rsidRPr="00331DD0" w:rsidRDefault="00331DD0" w:rsidP="003605AD">
      <w:pPr>
        <w:tabs>
          <w:tab w:val="left" w:pos="426"/>
          <w:tab w:val="left" w:pos="993"/>
        </w:tabs>
        <w:rPr>
          <w:rFonts w:ascii="Trebuchet MS" w:hAnsi="Trebuchet MS" w:cs="Arial"/>
          <w:color w:val="000000"/>
          <w:sz w:val="22"/>
          <w:szCs w:val="22"/>
        </w:rPr>
      </w:pPr>
    </w:p>
    <w:bookmarkStart w:id="16" w:name="_MON_1609758774"/>
    <w:bookmarkEnd w:id="16"/>
    <w:p w:rsidR="00331DD0" w:rsidRDefault="00B26FC9" w:rsidP="00331DD0">
      <w:pPr>
        <w:tabs>
          <w:tab w:val="left" w:pos="426"/>
          <w:tab w:val="left" w:pos="993"/>
        </w:tabs>
        <w:jc w:val="center"/>
        <w:rPr>
          <w:rFonts w:ascii="Trebuchet MS" w:hAnsi="Trebuchet MS" w:cs="Arial"/>
          <w:b/>
          <w:color w:val="000000"/>
          <w:sz w:val="22"/>
          <w:szCs w:val="22"/>
        </w:rPr>
      </w:pPr>
      <w:r>
        <w:rPr>
          <w:rFonts w:ascii="Trebuchet MS" w:hAnsi="Trebuchet MS" w:cs="Arial"/>
          <w:b/>
          <w:color w:val="000000"/>
          <w:sz w:val="22"/>
          <w:szCs w:val="22"/>
        </w:rPr>
        <w:object w:dxaOrig="6625" w:dyaOrig="1932">
          <v:shape id="_x0000_i1038" type="#_x0000_t75" style="width:331.5pt;height:96.75pt" o:ole="">
            <v:imagedata r:id="rId47" o:title=""/>
          </v:shape>
          <o:OLEObject Type="Embed" ProgID="Excel.Sheet.12" ShapeID="_x0000_i1038" DrawAspect="Content" ObjectID="_1658753064" r:id="rId48"/>
        </w:object>
      </w:r>
    </w:p>
    <w:p w:rsidR="00B26FC9" w:rsidRDefault="00B26FC9" w:rsidP="003605AD">
      <w:pPr>
        <w:tabs>
          <w:tab w:val="left" w:pos="426"/>
          <w:tab w:val="left" w:pos="993"/>
        </w:tabs>
        <w:rPr>
          <w:rFonts w:ascii="Trebuchet MS" w:hAnsi="Trebuchet MS" w:cs="Arial"/>
          <w:b/>
          <w:color w:val="000000"/>
          <w:sz w:val="22"/>
          <w:szCs w:val="22"/>
        </w:rPr>
      </w:pPr>
    </w:p>
    <w:p w:rsid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BD4D39">
        <w:rPr>
          <w:rFonts w:ascii="Trebuchet MS" w:hAnsi="Trebuchet MS" w:cs="Arial"/>
          <w:b/>
          <w:color w:val="000000"/>
          <w:sz w:val="22"/>
          <w:szCs w:val="22"/>
        </w:rPr>
        <w:t>5</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r>
      <w:r w:rsidR="00F008AE">
        <w:rPr>
          <w:rFonts w:ascii="Trebuchet MS" w:hAnsi="Trebuchet MS" w:cs="Arial"/>
          <w:b/>
          <w:color w:val="000000"/>
          <w:sz w:val="22"/>
          <w:szCs w:val="22"/>
        </w:rPr>
        <w:t>Demais Obrigações a Curto Prazo</w:t>
      </w:r>
    </w:p>
    <w:p w:rsidR="00F008AE" w:rsidRDefault="00F008AE" w:rsidP="003605AD">
      <w:pPr>
        <w:tabs>
          <w:tab w:val="left" w:pos="426"/>
          <w:tab w:val="left" w:pos="993"/>
        </w:tabs>
        <w:rPr>
          <w:rFonts w:ascii="Trebuchet MS" w:hAnsi="Trebuchet MS" w:cs="Arial"/>
          <w:b/>
          <w:color w:val="000000"/>
          <w:sz w:val="22"/>
          <w:szCs w:val="22"/>
        </w:rPr>
      </w:pPr>
    </w:p>
    <w:p w:rsidR="00F008AE" w:rsidRPr="00F008AE" w:rsidRDefault="00F008AE" w:rsidP="00F9307D">
      <w:pPr>
        <w:tabs>
          <w:tab w:val="left" w:pos="426"/>
          <w:tab w:val="left" w:pos="993"/>
        </w:tabs>
        <w:ind w:left="426"/>
        <w:rPr>
          <w:rFonts w:ascii="Trebuchet MS" w:hAnsi="Trebuchet MS" w:cs="Arial"/>
          <w:color w:val="000000"/>
          <w:sz w:val="22"/>
          <w:szCs w:val="22"/>
        </w:rPr>
      </w:pPr>
      <w:r>
        <w:rPr>
          <w:rFonts w:ascii="Trebuchet MS" w:hAnsi="Trebuchet MS" w:cs="Arial"/>
          <w:color w:val="000000"/>
          <w:sz w:val="22"/>
          <w:szCs w:val="22"/>
        </w:rPr>
        <w:t>A entidade possuía, em 31/12/2018, saldos de valores restituíveis conforme segue:</w:t>
      </w:r>
    </w:p>
    <w:p w:rsidR="003605AD" w:rsidRPr="003605AD" w:rsidRDefault="003605AD" w:rsidP="00F9307D">
      <w:pPr>
        <w:tabs>
          <w:tab w:val="left" w:pos="426"/>
          <w:tab w:val="left" w:pos="993"/>
        </w:tabs>
        <w:ind w:left="426"/>
        <w:rPr>
          <w:rFonts w:ascii="Trebuchet MS" w:hAnsi="Trebuchet MS" w:cs="Arial"/>
          <w:color w:val="000000"/>
          <w:sz w:val="22"/>
          <w:szCs w:val="22"/>
        </w:rPr>
      </w:pPr>
      <w:r w:rsidRPr="003605AD">
        <w:rPr>
          <w:rFonts w:ascii="Trebuchet MS" w:hAnsi="Trebuchet MS" w:cs="Arial"/>
          <w:color w:val="000000"/>
          <w:sz w:val="22"/>
          <w:szCs w:val="22"/>
        </w:rPr>
        <w:tab/>
      </w:r>
      <w:bookmarkStart w:id="17" w:name="_MON_1485704723"/>
      <w:bookmarkEnd w:id="17"/>
      <w:r w:rsidR="00F008AE" w:rsidRPr="003605AD">
        <w:rPr>
          <w:rFonts w:ascii="Trebuchet MS" w:hAnsi="Trebuchet MS" w:cs="Arial"/>
          <w:color w:val="000000"/>
          <w:sz w:val="22"/>
          <w:szCs w:val="22"/>
        </w:rPr>
        <w:object w:dxaOrig="8444" w:dyaOrig="2641">
          <v:shape id="_x0000_i1039" type="#_x0000_t75" style="width:422.25pt;height:132.75pt" o:ole="">
            <v:imagedata r:id="rId49" o:title=""/>
          </v:shape>
          <o:OLEObject Type="Embed" ProgID="Excel.Sheet.12" ShapeID="_x0000_i1039" DrawAspect="Content" ObjectID="_1658753065" r:id="rId50"/>
        </w:object>
      </w:r>
    </w:p>
    <w:p w:rsidR="00B26FC9" w:rsidRDefault="00B26FC9" w:rsidP="003605AD">
      <w:pPr>
        <w:tabs>
          <w:tab w:val="left" w:pos="426"/>
          <w:tab w:val="left" w:pos="993"/>
        </w:tabs>
        <w:rPr>
          <w:rFonts w:ascii="Trebuchet MS" w:hAnsi="Trebuchet MS" w:cs="Arial"/>
          <w:b/>
          <w:color w:val="000000"/>
          <w:sz w:val="22"/>
          <w:szCs w:val="22"/>
        </w:rPr>
      </w:pPr>
    </w:p>
    <w:p w:rsidR="00B26FC9" w:rsidRDefault="00B26FC9" w:rsidP="003605AD">
      <w:pPr>
        <w:tabs>
          <w:tab w:val="left" w:pos="426"/>
          <w:tab w:val="left" w:pos="993"/>
        </w:tabs>
        <w:rPr>
          <w:rFonts w:ascii="Trebuchet MS" w:hAnsi="Trebuchet MS" w:cs="Arial"/>
          <w:b/>
          <w:color w:val="000000"/>
          <w:sz w:val="22"/>
          <w:szCs w:val="22"/>
        </w:rPr>
      </w:pPr>
    </w:p>
    <w:p w:rsidR="003605AD" w:rsidRPr="003605AD" w:rsidRDefault="003605AD" w:rsidP="003605AD">
      <w:pPr>
        <w:tabs>
          <w:tab w:val="left" w:pos="426"/>
          <w:tab w:val="left" w:pos="993"/>
        </w:tabs>
        <w:rPr>
          <w:rFonts w:ascii="Trebuchet MS" w:hAnsi="Trebuchet MS" w:cs="Arial"/>
          <w:b/>
          <w:color w:val="000000"/>
          <w:sz w:val="22"/>
          <w:szCs w:val="22"/>
        </w:rPr>
      </w:pPr>
      <w:r w:rsidRPr="003605AD">
        <w:rPr>
          <w:rFonts w:ascii="Trebuchet MS" w:hAnsi="Trebuchet MS" w:cs="Arial"/>
          <w:b/>
          <w:color w:val="000000"/>
          <w:sz w:val="22"/>
          <w:szCs w:val="22"/>
        </w:rPr>
        <w:t>1</w:t>
      </w:r>
      <w:r w:rsidR="00BD4D39">
        <w:rPr>
          <w:rFonts w:ascii="Trebuchet MS" w:hAnsi="Trebuchet MS" w:cs="Arial"/>
          <w:b/>
          <w:color w:val="000000"/>
          <w:sz w:val="22"/>
          <w:szCs w:val="22"/>
        </w:rPr>
        <w:t>6</w:t>
      </w:r>
      <w:r w:rsidRPr="003605AD">
        <w:rPr>
          <w:rFonts w:ascii="Trebuchet MS" w:hAnsi="Trebuchet MS" w:cs="Arial"/>
          <w:b/>
          <w:color w:val="000000"/>
          <w:sz w:val="22"/>
          <w:szCs w:val="22"/>
        </w:rPr>
        <w:t>.</w:t>
      </w:r>
      <w:r w:rsidRPr="003605AD">
        <w:rPr>
          <w:rFonts w:ascii="Trebuchet MS" w:hAnsi="Trebuchet MS" w:cs="Arial"/>
          <w:b/>
          <w:color w:val="000000"/>
          <w:sz w:val="22"/>
          <w:szCs w:val="22"/>
        </w:rPr>
        <w:tab/>
        <w:t>Provisão para riscos processuais</w:t>
      </w:r>
    </w:p>
    <w:p w:rsidR="003605AD" w:rsidRPr="003605AD" w:rsidRDefault="003605AD" w:rsidP="003605AD">
      <w:pPr>
        <w:widowControl w:val="0"/>
        <w:rPr>
          <w:rFonts w:ascii="Trebuchet MS" w:hAnsi="Trebuchet MS" w:cs="Arial"/>
          <w:snapToGrid w:val="0"/>
          <w:color w:val="000000"/>
          <w:sz w:val="22"/>
          <w:szCs w:val="22"/>
        </w:rPr>
      </w:pPr>
    </w:p>
    <w:p w:rsidR="003605AD" w:rsidRPr="003605AD" w:rsidRDefault="003605AD" w:rsidP="003605AD">
      <w:pPr>
        <w:widowControl w:val="0"/>
        <w:ind w:left="426"/>
        <w:jc w:val="both"/>
        <w:rPr>
          <w:rFonts w:ascii="Trebuchet MS" w:hAnsi="Trebuchet MS" w:cs="Arial"/>
          <w:snapToGrid w:val="0"/>
          <w:color w:val="000000"/>
          <w:sz w:val="22"/>
          <w:szCs w:val="22"/>
        </w:rPr>
      </w:pPr>
      <w:r w:rsidRPr="003605AD">
        <w:rPr>
          <w:rFonts w:ascii="Trebuchet MS" w:hAnsi="Trebuchet MS" w:cs="Arial"/>
          <w:snapToGrid w:val="0"/>
          <w:color w:val="000000"/>
          <w:sz w:val="22"/>
          <w:szCs w:val="22"/>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2018 e 2017, estão assim representadas:</w:t>
      </w:r>
    </w:p>
    <w:bookmarkStart w:id="18" w:name="_MON_1485705262"/>
    <w:bookmarkEnd w:id="18"/>
    <w:p w:rsidR="003605AD" w:rsidRPr="003605AD" w:rsidRDefault="003C6378" w:rsidP="003605AD">
      <w:pPr>
        <w:widowControl w:val="0"/>
        <w:ind w:left="426"/>
        <w:rPr>
          <w:rFonts w:ascii="Trebuchet MS" w:hAnsi="Trebuchet MS" w:cs="Arial"/>
          <w:snapToGrid w:val="0"/>
          <w:color w:val="000000"/>
          <w:sz w:val="22"/>
          <w:szCs w:val="22"/>
        </w:rPr>
      </w:pPr>
      <w:r w:rsidRPr="003605AD">
        <w:rPr>
          <w:rFonts w:ascii="Trebuchet MS" w:hAnsi="Trebuchet MS" w:cs="Arial"/>
          <w:color w:val="000000"/>
          <w:sz w:val="22"/>
          <w:szCs w:val="22"/>
        </w:rPr>
        <w:object w:dxaOrig="8382" w:dyaOrig="4671">
          <v:shape id="_x0000_i1040" type="#_x0000_t75" style="width:418.5pt;height:235.5pt" o:ole="">
            <v:imagedata r:id="rId51" o:title=""/>
          </v:shape>
          <o:OLEObject Type="Embed" ProgID="Excel.Sheet.12" ShapeID="_x0000_i1040" DrawAspect="Content" ObjectID="_1658753066" r:id="rId52"/>
        </w:object>
      </w:r>
    </w:p>
    <w:p w:rsidR="003C6378" w:rsidRDefault="003C6378" w:rsidP="003605AD">
      <w:pPr>
        <w:widowControl w:val="0"/>
        <w:tabs>
          <w:tab w:val="left" w:pos="851"/>
        </w:tabs>
        <w:ind w:left="851" w:hanging="425"/>
        <w:jc w:val="both"/>
        <w:rPr>
          <w:rFonts w:ascii="Trebuchet MS" w:hAnsi="Trebuchet MS" w:cs="Arial"/>
          <w:color w:val="000000"/>
          <w:sz w:val="22"/>
          <w:szCs w:val="22"/>
        </w:rPr>
      </w:pPr>
    </w:p>
    <w:p w:rsidR="003605AD" w:rsidRPr="003605AD" w:rsidRDefault="003605AD" w:rsidP="003605AD">
      <w:pPr>
        <w:widowControl w:val="0"/>
        <w:tabs>
          <w:tab w:val="left" w:pos="851"/>
        </w:tabs>
        <w:ind w:left="851" w:hanging="425"/>
        <w:jc w:val="both"/>
        <w:rPr>
          <w:rFonts w:ascii="Trebuchet MS" w:hAnsi="Trebuchet MS" w:cs="Arial"/>
          <w:color w:val="000000"/>
          <w:sz w:val="22"/>
          <w:szCs w:val="22"/>
        </w:rPr>
      </w:pPr>
      <w:r w:rsidRPr="003605AD">
        <w:rPr>
          <w:rFonts w:ascii="Trebuchet MS" w:hAnsi="Trebuchet MS" w:cs="Arial"/>
          <w:color w:val="000000"/>
          <w:sz w:val="22"/>
          <w:szCs w:val="22"/>
        </w:rPr>
        <w:t>A movimentação da provisão no exercício de 2018 está demonstrada a seguir:</w:t>
      </w:r>
    </w:p>
    <w:p w:rsidR="003605AD" w:rsidRPr="003605AD" w:rsidRDefault="003605AD" w:rsidP="003605AD">
      <w:pPr>
        <w:widowControl w:val="0"/>
        <w:rPr>
          <w:rFonts w:ascii="Trebuchet MS" w:hAnsi="Trebuchet MS" w:cs="Arial"/>
          <w:color w:val="000000"/>
          <w:sz w:val="22"/>
          <w:szCs w:val="22"/>
        </w:rPr>
      </w:pPr>
    </w:p>
    <w:bookmarkStart w:id="19" w:name="_MON_1485705438"/>
    <w:bookmarkEnd w:id="19"/>
    <w:p w:rsidR="003605AD" w:rsidRPr="003605AD" w:rsidRDefault="003C6378" w:rsidP="003605AD">
      <w:pPr>
        <w:widowControl w:val="0"/>
        <w:ind w:left="426"/>
        <w:rPr>
          <w:rFonts w:ascii="Trebuchet MS" w:hAnsi="Trebuchet MS" w:cs="Arial"/>
          <w:color w:val="000000"/>
          <w:sz w:val="22"/>
          <w:szCs w:val="22"/>
        </w:rPr>
      </w:pPr>
      <w:r w:rsidRPr="003605AD">
        <w:rPr>
          <w:rFonts w:ascii="Trebuchet MS" w:hAnsi="Trebuchet MS" w:cs="Arial"/>
          <w:color w:val="000000"/>
          <w:sz w:val="22"/>
          <w:szCs w:val="22"/>
        </w:rPr>
        <w:object w:dxaOrig="9277" w:dyaOrig="2658">
          <v:shape id="_x0000_i1041" type="#_x0000_t75" style="width:454.5pt;height:129.75pt" o:ole="">
            <v:imagedata r:id="rId53" o:title=""/>
          </v:shape>
          <o:OLEObject Type="Embed" ProgID="Excel.Sheet.12" ShapeID="_x0000_i1041" DrawAspect="Content" ObjectID="_1658753067" r:id="rId54"/>
        </w:object>
      </w:r>
    </w:p>
    <w:p w:rsidR="003605AD" w:rsidRPr="003605AD" w:rsidRDefault="003605AD" w:rsidP="003605AD">
      <w:pPr>
        <w:widowControl w:val="0"/>
        <w:ind w:left="426"/>
        <w:rPr>
          <w:rFonts w:ascii="Trebuchet MS" w:hAnsi="Trebuchet MS" w:cs="Arial"/>
          <w:color w:val="000000"/>
          <w:sz w:val="22"/>
          <w:szCs w:val="22"/>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Natureza das contingências</w:t>
      </w:r>
    </w:p>
    <w:p w:rsidR="003605AD" w:rsidRPr="003605AD" w:rsidRDefault="003605AD" w:rsidP="003605AD">
      <w:pPr>
        <w:widowControl w:val="0"/>
        <w:rPr>
          <w:rFonts w:ascii="Trebuchet MS" w:hAnsi="Trebuchet MS" w:cs="Arial"/>
          <w:b/>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rsidR="003605AD" w:rsidRPr="003605AD" w:rsidRDefault="003605AD" w:rsidP="003605AD">
      <w:pPr>
        <w:widowControl w:val="0"/>
        <w:ind w:left="851"/>
        <w:jc w:val="both"/>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lang w:eastAsia="pt-BR"/>
        </w:rPr>
      </w:pPr>
      <w:r w:rsidRPr="003605AD">
        <w:rPr>
          <w:rFonts w:ascii="Trebuchet MS" w:hAnsi="Trebuchet MS" w:cs="Arial"/>
          <w:color w:val="000000"/>
          <w:sz w:val="22"/>
          <w:szCs w:val="22"/>
        </w:rPr>
        <w:t>As c</w:t>
      </w:r>
      <w:r w:rsidRPr="003605AD">
        <w:rPr>
          <w:rFonts w:ascii="Trebuchet MS" w:hAnsi="Trebuchet MS" w:cs="Arial"/>
          <w:color w:val="000000"/>
          <w:sz w:val="22"/>
          <w:szCs w:val="22"/>
          <w:lang w:eastAsia="pt-BR"/>
        </w:rPr>
        <w:t xml:space="preserve">ontingências trabalhistas referem-se a processos movidos por ex-funcionários </w:t>
      </w:r>
      <w:r w:rsidRPr="003605AD">
        <w:rPr>
          <w:rFonts w:ascii="Trebuchet MS" w:hAnsi="Trebuchet MS" w:cs="Arial"/>
          <w:color w:val="000000"/>
          <w:sz w:val="22"/>
          <w:szCs w:val="22"/>
        </w:rPr>
        <w:t>vinculados a verbas decorrentes da relação de emprego e a vários pleitos indenizatórios</w:t>
      </w:r>
      <w:r w:rsidRPr="003605AD">
        <w:rPr>
          <w:rFonts w:ascii="Trebuchet MS" w:hAnsi="Trebuchet MS" w:cs="Arial"/>
          <w:color w:val="000000"/>
          <w:sz w:val="22"/>
          <w:szCs w:val="22"/>
          <w:lang w:eastAsia="pt-BR"/>
        </w:rPr>
        <w:t>.</w:t>
      </w:r>
    </w:p>
    <w:p w:rsidR="003605AD" w:rsidRPr="003605AD" w:rsidRDefault="003605AD" w:rsidP="003605AD">
      <w:pPr>
        <w:widowControl w:val="0"/>
        <w:ind w:left="851"/>
        <w:jc w:val="both"/>
        <w:rPr>
          <w:rFonts w:ascii="Trebuchet MS" w:hAnsi="Trebuchet MS" w:cs="Arial"/>
          <w:color w:val="000000"/>
          <w:sz w:val="22"/>
          <w:szCs w:val="22"/>
          <w:lang w:eastAsia="pt-BR"/>
        </w:rPr>
      </w:pPr>
    </w:p>
    <w:p w:rsidR="003605AD" w:rsidRPr="003605AD" w:rsidRDefault="003605AD" w:rsidP="003605AD">
      <w:pPr>
        <w:pStyle w:val="PargrafodaLista"/>
        <w:widowControl w:val="0"/>
        <w:numPr>
          <w:ilvl w:val="0"/>
          <w:numId w:val="9"/>
        </w:numPr>
        <w:jc w:val="both"/>
        <w:rPr>
          <w:rFonts w:ascii="Trebuchet MS" w:hAnsi="Trebuchet MS" w:cs="Arial"/>
          <w:b/>
          <w:color w:val="000000"/>
        </w:rPr>
      </w:pPr>
      <w:r w:rsidRPr="003605AD">
        <w:rPr>
          <w:rFonts w:ascii="Trebuchet MS" w:hAnsi="Trebuchet MS" w:cs="Arial"/>
          <w:b/>
          <w:color w:val="000000"/>
        </w:rPr>
        <w:t>Perdas possíveis, não provisionadas no balanço</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851"/>
        <w:jc w:val="both"/>
        <w:rPr>
          <w:rFonts w:ascii="Trebuchet MS" w:hAnsi="Trebuchet MS" w:cs="Arial"/>
          <w:color w:val="000000"/>
          <w:sz w:val="22"/>
          <w:szCs w:val="22"/>
        </w:rPr>
      </w:pPr>
      <w:r w:rsidRPr="003605AD">
        <w:rPr>
          <w:rFonts w:ascii="Trebuchet MS" w:hAnsi="Trebuchet MS" w:cs="Arial"/>
          <w:color w:val="000000"/>
          <w:sz w:val="22"/>
          <w:szCs w:val="22"/>
        </w:rPr>
        <w:t xml:space="preserve">Em 31 de dezembro de 2018 além dos valores anteriormente mencionados, não foram computados nos montantes acima </w:t>
      </w:r>
      <w:r w:rsidRPr="000A1F37">
        <w:rPr>
          <w:rFonts w:ascii="Trebuchet MS" w:hAnsi="Trebuchet MS" w:cs="Arial"/>
          <w:color w:val="000000"/>
          <w:sz w:val="22"/>
          <w:szCs w:val="22"/>
        </w:rPr>
        <w:t xml:space="preserve">R$ </w:t>
      </w:r>
      <w:r w:rsidR="000A1F37">
        <w:rPr>
          <w:rFonts w:ascii="Trebuchet MS" w:hAnsi="Trebuchet MS" w:cs="Arial"/>
          <w:color w:val="000000"/>
          <w:sz w:val="22"/>
          <w:szCs w:val="22"/>
        </w:rPr>
        <w:t xml:space="preserve">2.690,94 </w:t>
      </w:r>
      <w:r w:rsidRPr="003605AD">
        <w:rPr>
          <w:rFonts w:ascii="Trebuchet MS" w:hAnsi="Trebuchet MS" w:cs="Arial"/>
          <w:color w:val="000000"/>
          <w:sz w:val="22"/>
          <w:szCs w:val="22"/>
        </w:rPr>
        <w:t>decorrentes de causas trabalhistas e cíveis, cuja avaliação dos assessores legais da Entidade aponta para uma probabilidade possível de perda, razão pela qual a Administração não registrou esse montante nas demonstrações contábeis.</w:t>
      </w:r>
    </w:p>
    <w:p w:rsidR="003605AD" w:rsidRPr="003605AD" w:rsidRDefault="003605AD" w:rsidP="003605AD">
      <w:pPr>
        <w:widowControl w:val="0"/>
        <w:rPr>
          <w:rFonts w:ascii="Trebuchet MS" w:hAnsi="Trebuchet MS" w:cs="Arial"/>
          <w:color w:val="000000"/>
          <w:sz w:val="22"/>
          <w:szCs w:val="22"/>
          <w:highlight w:val="yellow"/>
        </w:rPr>
      </w:pPr>
    </w:p>
    <w:p w:rsidR="003605AD" w:rsidRPr="003605AD" w:rsidRDefault="003605AD" w:rsidP="003605AD">
      <w:pPr>
        <w:pStyle w:val="BDOTtulo1"/>
        <w:widowControl w:val="0"/>
        <w:tabs>
          <w:tab w:val="clear" w:pos="567"/>
          <w:tab w:val="left" w:pos="426"/>
        </w:tabs>
        <w:suppressAutoHyphens w:val="0"/>
        <w:ind w:left="0" w:firstLine="0"/>
        <w:rPr>
          <w:rFonts w:ascii="Trebuchet MS" w:hAnsi="Trebuchet MS" w:cs="Arial"/>
          <w:color w:val="000000"/>
          <w:szCs w:val="22"/>
        </w:rPr>
      </w:pPr>
      <w:r w:rsidRPr="000A1F37">
        <w:rPr>
          <w:rFonts w:ascii="Trebuchet MS" w:hAnsi="Trebuchet MS" w:cs="Arial"/>
          <w:color w:val="000000"/>
          <w:szCs w:val="22"/>
        </w:rPr>
        <w:t>1</w:t>
      </w:r>
      <w:r w:rsidR="00BD4D39">
        <w:rPr>
          <w:rFonts w:ascii="Trebuchet MS" w:hAnsi="Trebuchet MS" w:cs="Arial"/>
          <w:color w:val="000000"/>
          <w:szCs w:val="22"/>
        </w:rPr>
        <w:t>7</w:t>
      </w:r>
      <w:r w:rsidRPr="000A1F37">
        <w:rPr>
          <w:rFonts w:ascii="Trebuchet MS" w:hAnsi="Trebuchet MS" w:cs="Arial"/>
          <w:color w:val="000000"/>
          <w:szCs w:val="22"/>
        </w:rPr>
        <w:t>.</w:t>
      </w:r>
      <w:r w:rsidRPr="000A1F37">
        <w:rPr>
          <w:rFonts w:ascii="Trebuchet MS" w:hAnsi="Trebuchet MS" w:cs="Arial"/>
          <w:color w:val="000000"/>
          <w:szCs w:val="22"/>
        </w:rPr>
        <w:tab/>
        <w:t>P</w:t>
      </w:r>
      <w:r w:rsidRPr="000A1F37">
        <w:rPr>
          <w:rFonts w:ascii="Trebuchet MS" w:hAnsi="Trebuchet MS" w:cs="Arial"/>
          <w:caps w:val="0"/>
          <w:color w:val="000000"/>
          <w:szCs w:val="22"/>
        </w:rPr>
        <w:t>artes relacionadas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A Entidade em 31 de dezembro de 2018 não possui coligadas, controladas ou subsidiárias integrais, dessa forma, não há transações com partes relacionadas dessa natureza.</w:t>
      </w:r>
    </w:p>
    <w:p w:rsidR="003605AD" w:rsidRPr="003605AD" w:rsidRDefault="003605AD" w:rsidP="003605AD">
      <w:pPr>
        <w:widowControl w:val="0"/>
        <w:ind w:left="1134"/>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Não há qualquer remuneração ou contraprestação aos Conselheiros e Dirigentes do CAU/</w:t>
      </w:r>
      <w:r w:rsidR="000A1F37">
        <w:rPr>
          <w:rFonts w:ascii="Trebuchet MS" w:hAnsi="Trebuchet MS" w:cs="Arial"/>
          <w:color w:val="000000"/>
          <w:sz w:val="22"/>
          <w:szCs w:val="22"/>
        </w:rPr>
        <w:t>RS</w:t>
      </w:r>
      <w:r w:rsidRPr="003605AD">
        <w:rPr>
          <w:rFonts w:ascii="Trebuchet MS" w:hAnsi="Trebuchet MS" w:cs="Arial"/>
          <w:color w:val="000000"/>
          <w:sz w:val="22"/>
          <w:szCs w:val="22"/>
        </w:rPr>
        <w:t>, tratando-se de cargos honoríficos, em conformidade com o artigo 40, da Lei nº 12.378/2010.</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sidRPr="003605AD">
        <w:rPr>
          <w:rFonts w:ascii="Trebuchet MS" w:hAnsi="Trebuchet MS" w:cs="Arial"/>
          <w:color w:val="000000"/>
          <w:sz w:val="22"/>
          <w:szCs w:val="22"/>
        </w:rPr>
        <w:t>No exercício de 2018 não houve concessão de benefícios de longo prazo pós-emprego, plano de aposentadoria e de rescisão de contrato de trabalho.</w:t>
      </w:r>
    </w:p>
    <w:p w:rsidR="003605AD" w:rsidRPr="003605AD" w:rsidRDefault="003605AD" w:rsidP="003605AD">
      <w:pPr>
        <w:rPr>
          <w:rFonts w:ascii="Trebuchet MS" w:hAnsi="Trebuchet MS" w:cs="Arial"/>
          <w:color w:val="000000"/>
          <w:sz w:val="22"/>
          <w:szCs w:val="22"/>
        </w:rPr>
      </w:pPr>
    </w:p>
    <w:p w:rsidR="003605AD" w:rsidRPr="003605AD" w:rsidRDefault="003605AD" w:rsidP="003605AD">
      <w:pPr>
        <w:rPr>
          <w:rFonts w:ascii="Trebuchet MS" w:hAnsi="Trebuchet MS" w:cs="Arial"/>
          <w:color w:val="000000"/>
          <w:sz w:val="22"/>
          <w:szCs w:val="22"/>
        </w:rPr>
      </w:pPr>
    </w:p>
    <w:p w:rsidR="003605AD" w:rsidRPr="003605AD" w:rsidRDefault="003605AD" w:rsidP="003605AD">
      <w:pPr>
        <w:spacing w:after="200" w:line="276"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BD4D39">
        <w:rPr>
          <w:rFonts w:ascii="Trebuchet MS" w:hAnsi="Trebuchet MS" w:cs="Arial"/>
          <w:b/>
          <w:bCs/>
          <w:color w:val="000000"/>
          <w:sz w:val="22"/>
          <w:szCs w:val="22"/>
        </w:rPr>
        <w:t>8</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Despesas por natureza</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bookmarkStart w:id="20" w:name="_MON_1485714648"/>
    <w:bookmarkEnd w:id="20"/>
    <w:p w:rsidR="003605AD" w:rsidRPr="003605AD" w:rsidRDefault="00E81EDE" w:rsidP="003605AD">
      <w:pPr>
        <w:widowControl w:val="0"/>
        <w:tabs>
          <w:tab w:val="left" w:pos="426"/>
        </w:tabs>
        <w:spacing w:line="235" w:lineRule="auto"/>
        <w:ind w:left="426"/>
        <w:rPr>
          <w:rFonts w:ascii="Trebuchet MS" w:hAnsi="Trebuchet MS" w:cs="Arial"/>
          <w:b/>
          <w:bCs/>
          <w:color w:val="000000"/>
          <w:sz w:val="22"/>
          <w:szCs w:val="22"/>
        </w:rPr>
      </w:pPr>
      <w:r w:rsidRPr="003605AD">
        <w:rPr>
          <w:rFonts w:ascii="Trebuchet MS" w:hAnsi="Trebuchet MS" w:cs="Arial"/>
          <w:color w:val="000000"/>
          <w:sz w:val="22"/>
          <w:szCs w:val="22"/>
        </w:rPr>
        <w:object w:dxaOrig="9311" w:dyaOrig="2251">
          <v:shape id="_x0000_i1042" type="#_x0000_t75" style="width:467.25pt;height:120pt" o:ole="">
            <v:imagedata r:id="rId55" o:title=""/>
          </v:shape>
          <o:OLEObject Type="Embed" ProgID="Excel.Sheet.12" ShapeID="_x0000_i1042" DrawAspect="Content" ObjectID="_1658753068" r:id="rId56"/>
        </w:objec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r w:rsidRPr="003605AD">
        <w:rPr>
          <w:rFonts w:ascii="Trebuchet MS" w:hAnsi="Trebuchet MS" w:cs="Arial"/>
          <w:b/>
          <w:bCs/>
          <w:color w:val="000000"/>
          <w:sz w:val="22"/>
          <w:szCs w:val="22"/>
        </w:rPr>
        <w:t>1</w:t>
      </w:r>
      <w:r w:rsidR="00BD4D39">
        <w:rPr>
          <w:rFonts w:ascii="Trebuchet MS" w:hAnsi="Trebuchet MS" w:cs="Arial"/>
          <w:b/>
          <w:bCs/>
          <w:color w:val="000000"/>
          <w:sz w:val="22"/>
          <w:szCs w:val="22"/>
        </w:rPr>
        <w:t>9</w:t>
      </w:r>
      <w:r w:rsidRPr="003605AD">
        <w:rPr>
          <w:rFonts w:ascii="Trebuchet MS" w:hAnsi="Trebuchet MS" w:cs="Arial"/>
          <w:b/>
          <w:bCs/>
          <w:color w:val="000000"/>
          <w:sz w:val="22"/>
          <w:szCs w:val="22"/>
        </w:rPr>
        <w:t>.</w:t>
      </w:r>
      <w:r w:rsidRPr="003605AD">
        <w:rPr>
          <w:rFonts w:ascii="Trebuchet MS" w:hAnsi="Trebuchet MS" w:cs="Arial"/>
          <w:b/>
          <w:bCs/>
          <w:color w:val="000000"/>
          <w:sz w:val="22"/>
          <w:szCs w:val="22"/>
        </w:rPr>
        <w:tab/>
        <w:t>Resultados orçamentário, patrimonial e financeiro</w:t>
      </w:r>
    </w:p>
    <w:p w:rsidR="003605AD" w:rsidRPr="003605AD" w:rsidRDefault="003605AD" w:rsidP="003605AD">
      <w:pPr>
        <w:pStyle w:val="Ttulo3"/>
        <w:keepNext w:val="0"/>
        <w:rPr>
          <w:rFonts w:ascii="Trebuchet MS" w:hAnsi="Trebuchet MS" w:cs="Arial"/>
          <w:color w:val="000000"/>
          <w:sz w:val="22"/>
          <w:szCs w:val="22"/>
        </w:rPr>
      </w:pPr>
    </w:p>
    <w:bookmarkStart w:id="21" w:name="_MON_1574592888"/>
    <w:bookmarkEnd w:id="21"/>
    <w:p w:rsidR="003605AD" w:rsidRPr="00BD6920" w:rsidRDefault="00851A6C" w:rsidP="003605AD">
      <w:pPr>
        <w:ind w:left="426"/>
        <w:rPr>
          <w:rFonts w:ascii="Trebuchet MS" w:hAnsi="Trebuchet MS"/>
          <w:sz w:val="22"/>
          <w:szCs w:val="22"/>
          <w:lang w:eastAsia="pt-BR"/>
        </w:rPr>
      </w:pPr>
      <w:r w:rsidRPr="00BD6920">
        <w:rPr>
          <w:rFonts w:ascii="Trebuchet MS" w:hAnsi="Trebuchet MS"/>
          <w:sz w:val="22"/>
          <w:szCs w:val="22"/>
          <w:lang w:eastAsia="pt-BR"/>
        </w:rPr>
        <w:object w:dxaOrig="8858" w:dyaOrig="5818">
          <v:shape id="_x0000_i1043" type="#_x0000_t75" style="width:443.25pt;height:291pt" o:ole="">
            <v:imagedata r:id="rId57" o:title=""/>
          </v:shape>
          <o:OLEObject Type="Embed" ProgID="Excel.Sheet.12" ShapeID="_x0000_i1043" DrawAspect="Content" ObjectID="_1658753069" r:id="rId58"/>
        </w:object>
      </w:r>
    </w:p>
    <w:p w:rsidR="003605AD" w:rsidRPr="003605AD" w:rsidRDefault="003605AD" w:rsidP="003605AD">
      <w:pPr>
        <w:ind w:left="426"/>
        <w:jc w:val="both"/>
        <w:rPr>
          <w:rFonts w:ascii="Trebuchet MS" w:hAnsi="Trebuchet MS" w:cs="Arial"/>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20</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Seguros</w:t>
      </w:r>
    </w:p>
    <w:p w:rsidR="003605AD" w:rsidRPr="003605AD" w:rsidRDefault="003605AD" w:rsidP="003605AD">
      <w:pPr>
        <w:widowControl w:val="0"/>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Entidade</w:t>
      </w:r>
      <w:r w:rsidRPr="00FD52B7">
        <w:rPr>
          <w:rFonts w:ascii="Trebuchet MS" w:hAnsi="Trebuchet MS"/>
          <w:sz w:val="22"/>
          <w:szCs w:val="22"/>
        </w:rPr>
        <w:t xml:space="preserv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w:t>
      </w:r>
      <w:r>
        <w:rPr>
          <w:rFonts w:ascii="Trebuchet MS" w:hAnsi="Trebuchet MS"/>
          <w:sz w:val="22"/>
          <w:szCs w:val="22"/>
        </w:rPr>
        <w:t>es de 31 de dezembro de 2018</w:t>
      </w:r>
      <w:r w:rsidRPr="00FD52B7">
        <w:rPr>
          <w:rFonts w:ascii="Trebuchet MS" w:hAnsi="Trebuchet MS"/>
          <w:sz w:val="22"/>
          <w:szCs w:val="22"/>
        </w:rPr>
        <w:t>, é assim demonstrada:</w:t>
      </w:r>
    </w:p>
    <w:p w:rsidR="003605AD" w:rsidRPr="003605AD" w:rsidRDefault="003605AD" w:rsidP="003605AD">
      <w:pPr>
        <w:widowControl w:val="0"/>
        <w:ind w:left="426"/>
        <w:jc w:val="both"/>
        <w:rPr>
          <w:rFonts w:ascii="Trebuchet MS" w:hAnsi="Trebuchet MS" w:cs="Arial"/>
          <w:color w:val="000000"/>
          <w:sz w:val="22"/>
          <w:szCs w:val="22"/>
        </w:rPr>
      </w:pPr>
    </w:p>
    <w:bookmarkStart w:id="22" w:name="_MON_1486128165"/>
    <w:bookmarkEnd w:id="22"/>
    <w:p w:rsidR="003605AD" w:rsidRPr="00FD52B7" w:rsidRDefault="00EA5769" w:rsidP="003605AD">
      <w:pPr>
        <w:ind w:left="567"/>
        <w:rPr>
          <w:rFonts w:ascii="Trebuchet MS" w:hAnsi="Trebuchet MS"/>
          <w:sz w:val="22"/>
          <w:szCs w:val="22"/>
        </w:rPr>
      </w:pPr>
      <w:r w:rsidRPr="00FD52B7">
        <w:rPr>
          <w:rFonts w:ascii="Trebuchet MS" w:hAnsi="Trebuchet MS"/>
          <w:sz w:val="22"/>
          <w:szCs w:val="22"/>
        </w:rPr>
        <w:object w:dxaOrig="8461" w:dyaOrig="2560">
          <v:shape id="_x0000_i1044" type="#_x0000_t75" style="width:423.75pt;height:114pt" o:ole="">
            <v:imagedata r:id="rId59" o:title=""/>
          </v:shape>
          <o:OLEObject Type="Embed" ProgID="Excel.Sheet.12" ShapeID="_x0000_i1044" DrawAspect="Content" ObjectID="_1658753070" r:id="rId60"/>
        </w:object>
      </w:r>
    </w:p>
    <w:p w:rsidR="00C171AB" w:rsidRPr="00C171AB" w:rsidRDefault="00C171AB" w:rsidP="00C171AB">
      <w:pPr>
        <w:autoSpaceDE w:val="0"/>
        <w:autoSpaceDN w:val="0"/>
        <w:adjustRightInd w:val="0"/>
        <w:ind w:left="426"/>
        <w:rPr>
          <w:rFonts w:ascii="Trebuchet MS" w:hAnsi="Trebuchet MS" w:cs="Arial"/>
          <w:sz w:val="22"/>
          <w:szCs w:val="22"/>
          <w:lang w:eastAsia="pt-BR"/>
        </w:rPr>
      </w:pPr>
      <w:r w:rsidRPr="00C171AB">
        <w:rPr>
          <w:rFonts w:ascii="Trebuchet MS" w:hAnsi="Trebuchet MS" w:cs="Arial"/>
          <w:sz w:val="22"/>
          <w:szCs w:val="22"/>
          <w:lang w:eastAsia="pt-BR"/>
        </w:rPr>
        <w:t>A importância segurada dos seguros dos onze veículos de propriedade do CAU/RS é de 100%</w:t>
      </w:r>
      <w:r>
        <w:rPr>
          <w:rFonts w:ascii="Trebuchet MS" w:hAnsi="Trebuchet MS" w:cs="Arial"/>
          <w:sz w:val="22"/>
          <w:szCs w:val="22"/>
          <w:lang w:eastAsia="pt-BR"/>
        </w:rPr>
        <w:t xml:space="preserve"> </w:t>
      </w:r>
      <w:r w:rsidRPr="00C171AB">
        <w:rPr>
          <w:rFonts w:ascii="Trebuchet MS" w:hAnsi="Trebuchet MS" w:cs="Arial"/>
          <w:sz w:val="22"/>
          <w:szCs w:val="22"/>
          <w:lang w:eastAsia="pt-BR"/>
        </w:rPr>
        <w:t>do valor de mercado referenciado.</w:t>
      </w:r>
    </w:p>
    <w:p w:rsidR="00C171AB" w:rsidRDefault="00C171AB"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BD4D39" w:rsidP="003605AD">
      <w:pPr>
        <w:widowControl w:val="0"/>
        <w:tabs>
          <w:tab w:val="left" w:pos="426"/>
        </w:tabs>
        <w:spacing w:line="235" w:lineRule="auto"/>
        <w:rPr>
          <w:rFonts w:ascii="Trebuchet MS" w:hAnsi="Trebuchet MS" w:cs="Arial"/>
          <w:b/>
          <w:bCs/>
          <w:color w:val="000000"/>
          <w:sz w:val="22"/>
          <w:szCs w:val="22"/>
        </w:rPr>
      </w:pPr>
      <w:r>
        <w:rPr>
          <w:rFonts w:ascii="Trebuchet MS" w:hAnsi="Trebuchet MS" w:cs="Arial"/>
          <w:b/>
          <w:bCs/>
          <w:color w:val="000000"/>
          <w:sz w:val="22"/>
          <w:szCs w:val="22"/>
        </w:rPr>
        <w:t>21</w:t>
      </w:r>
      <w:r w:rsidR="003605AD" w:rsidRPr="003605AD">
        <w:rPr>
          <w:rFonts w:ascii="Trebuchet MS" w:hAnsi="Trebuchet MS" w:cs="Arial"/>
          <w:b/>
          <w:bCs/>
          <w:color w:val="000000"/>
          <w:sz w:val="22"/>
          <w:szCs w:val="22"/>
        </w:rPr>
        <w:t>.</w:t>
      </w:r>
      <w:r w:rsidR="003605AD" w:rsidRPr="003605AD">
        <w:rPr>
          <w:rFonts w:ascii="Trebuchet MS" w:hAnsi="Trebuchet MS" w:cs="Arial"/>
          <w:b/>
          <w:bCs/>
          <w:color w:val="000000"/>
          <w:sz w:val="22"/>
          <w:szCs w:val="22"/>
        </w:rPr>
        <w:tab/>
        <w:t>Relacionamento com os auditores independentes</w:t>
      </w:r>
    </w:p>
    <w:p w:rsidR="003605AD" w:rsidRPr="003605AD" w:rsidRDefault="003605AD" w:rsidP="003605AD">
      <w:pPr>
        <w:widowControl w:val="0"/>
        <w:tabs>
          <w:tab w:val="left" w:pos="426"/>
        </w:tabs>
        <w:spacing w:line="235" w:lineRule="auto"/>
        <w:rPr>
          <w:rFonts w:ascii="Trebuchet MS" w:hAnsi="Trebuchet MS" w:cs="Arial"/>
          <w:b/>
          <w:bCs/>
          <w:color w:val="000000"/>
          <w:sz w:val="22"/>
          <w:szCs w:val="22"/>
        </w:rPr>
      </w:pPr>
    </w:p>
    <w:p w:rsidR="003605AD" w:rsidRPr="003605AD" w:rsidRDefault="003605AD" w:rsidP="003605AD">
      <w:pPr>
        <w:widowControl w:val="0"/>
        <w:ind w:left="426"/>
        <w:jc w:val="both"/>
        <w:rPr>
          <w:rFonts w:ascii="Trebuchet MS" w:hAnsi="Trebuchet MS" w:cs="Arial"/>
          <w:color w:val="000000"/>
          <w:sz w:val="22"/>
          <w:szCs w:val="22"/>
        </w:rPr>
      </w:pPr>
      <w:r>
        <w:rPr>
          <w:rFonts w:ascii="Trebuchet MS" w:hAnsi="Trebuchet MS"/>
          <w:sz w:val="22"/>
          <w:szCs w:val="22"/>
        </w:rPr>
        <w:t>A contratação dos auditores independentes deu-se pelo Conselho de Arquitetura e Urbanismo do Brasil – CAU/BR, órgão central de controle dos CAU/UF, não sendo contratados outros serviços ao não ser os trabalhos de auditoria das demonstrações contábeis.</w:t>
      </w:r>
    </w:p>
    <w:p w:rsidR="003605AD" w:rsidRPr="003605AD" w:rsidRDefault="003605AD" w:rsidP="003605AD">
      <w:pPr>
        <w:widowControl w:val="0"/>
        <w:ind w:left="426"/>
        <w:jc w:val="both"/>
        <w:rPr>
          <w:rFonts w:ascii="Trebuchet MS" w:hAnsi="Trebuchet MS" w:cs="Arial"/>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r w:rsidRPr="003605AD">
        <w:rPr>
          <w:rFonts w:ascii="Trebuchet MS" w:hAnsi="Trebuchet MS" w:cs="Arial"/>
          <w:i/>
          <w:color w:val="000000"/>
          <w:sz w:val="22"/>
          <w:szCs w:val="22"/>
        </w:rPr>
        <w:t>.</w:t>
      </w: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widowControl w:val="0"/>
        <w:ind w:left="426"/>
        <w:jc w:val="both"/>
        <w:rPr>
          <w:rFonts w:ascii="Trebuchet MS" w:hAnsi="Trebuchet MS" w:cs="Arial"/>
          <w:i/>
          <w:color w:val="000000"/>
          <w:sz w:val="22"/>
          <w:szCs w:val="22"/>
        </w:rPr>
      </w:pPr>
    </w:p>
    <w:p w:rsidR="003605AD" w:rsidRPr="003605AD" w:rsidRDefault="003605AD" w:rsidP="003605AD">
      <w:pPr>
        <w:pStyle w:val="PargrafodaLista"/>
        <w:widowControl w:val="0"/>
        <w:ind w:left="1428" w:firstLine="696"/>
        <w:jc w:val="both"/>
        <w:rPr>
          <w:rFonts w:ascii="Trebuchet MS" w:hAnsi="Trebuchet MS" w:cs="Arial"/>
          <w:i/>
          <w:color w:val="000000"/>
        </w:rPr>
      </w:pPr>
      <w:r w:rsidRPr="003605AD">
        <w:rPr>
          <w:rFonts w:ascii="Trebuchet MS" w:hAnsi="Trebuchet MS" w:cs="Arial"/>
          <w:i/>
          <w:color w:val="000000"/>
        </w:rPr>
        <w:t>*</w:t>
      </w:r>
      <w:r w:rsidRPr="003605AD">
        <w:rPr>
          <w:rFonts w:ascii="Trebuchet MS" w:hAnsi="Trebuchet MS" w:cs="Arial"/>
          <w:i/>
          <w:color w:val="000000"/>
        </w:rPr>
        <w:tab/>
      </w:r>
      <w:r w:rsidRPr="003605AD">
        <w:rPr>
          <w:rFonts w:ascii="Trebuchet MS" w:hAnsi="Trebuchet MS" w:cs="Arial"/>
          <w:i/>
          <w:color w:val="000000"/>
        </w:rPr>
        <w:tab/>
        <w:t>*</w:t>
      </w:r>
      <w:r w:rsidRPr="003605AD">
        <w:rPr>
          <w:rFonts w:ascii="Trebuchet MS" w:hAnsi="Trebuchet MS" w:cs="Arial"/>
          <w:i/>
          <w:color w:val="000000"/>
        </w:rPr>
        <w:tab/>
      </w:r>
      <w:r w:rsidRPr="003605AD">
        <w:rPr>
          <w:rFonts w:ascii="Trebuchet MS" w:hAnsi="Trebuchet MS" w:cs="Arial"/>
          <w:i/>
          <w:color w:val="000000"/>
        </w:rPr>
        <w:tab/>
      </w:r>
      <w:r w:rsidRPr="003605AD">
        <w:rPr>
          <w:rFonts w:ascii="Trebuchet MS" w:hAnsi="Trebuchet MS" w:cs="Arial"/>
          <w:i/>
          <w:color w:val="000000"/>
        </w:rPr>
        <w:tab/>
        <w:t>*</w:t>
      </w:r>
    </w:p>
    <w:p w:rsidR="003605AD" w:rsidRPr="00FD52B7" w:rsidRDefault="003605AD" w:rsidP="003605AD">
      <w:pPr>
        <w:rPr>
          <w:rFonts w:ascii="Trebuchet MS" w:hAnsi="Trebuchet MS"/>
          <w:sz w:val="22"/>
          <w:szCs w:val="22"/>
        </w:rPr>
      </w:pPr>
    </w:p>
    <w:p w:rsidR="003605AD" w:rsidRPr="00590791" w:rsidRDefault="003605AD" w:rsidP="00590791">
      <w:pPr>
        <w:pStyle w:val="SombreamentoMdio1-nfase1"/>
        <w:spacing w:after="120" w:line="276" w:lineRule="auto"/>
        <w:jc w:val="both"/>
        <w:rPr>
          <w:rFonts w:ascii="Arial" w:hAnsi="Arial" w:cs="Arial"/>
        </w:rPr>
      </w:pPr>
    </w:p>
    <w:sectPr w:rsidR="003605AD" w:rsidRPr="00590791" w:rsidSect="00A76120">
      <w:headerReference w:type="even" r:id="rId61"/>
      <w:headerReference w:type="default" r:id="rId62"/>
      <w:footerReference w:type="even" r:id="rId63"/>
      <w:footerReference w:type="default" r:id="rId64"/>
      <w:pgSz w:w="11900" w:h="16840"/>
      <w:pgMar w:top="198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38" w:rsidRDefault="00A81838">
      <w:r>
        <w:separator/>
      </w:r>
    </w:p>
  </w:endnote>
  <w:endnote w:type="continuationSeparator" w:id="0">
    <w:p w:rsidR="00A81838" w:rsidRDefault="00A8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o">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605AD" w:rsidRDefault="003605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Rodap"/>
      <w:jc w:val="right"/>
      <w:rPr>
        <w:rFonts w:ascii="Trebuchet MS" w:hAnsi="Trebuchet MS"/>
        <w:szCs w:val="14"/>
      </w:rPr>
    </w:pPr>
    <w:r w:rsidRPr="00576CF2">
      <w:rPr>
        <w:rFonts w:ascii="Trebuchet MS" w:hAnsi="Trebuchet MS"/>
        <w:szCs w:val="14"/>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A618BB" w:rsidRDefault="003605AD" w:rsidP="00D54B6F">
    <w:pPr>
      <w:pStyle w:val="Rodap"/>
      <w:jc w:val="right"/>
    </w:pPr>
    <w:r w:rsidRPr="00A618BB">
      <w:rPr>
        <w:rFonts w:ascii="Trebuchet MS" w:hAnsi="Trebuchet MS"/>
      </w:rPr>
      <w:fldChar w:fldCharType="begin"/>
    </w:r>
    <w:r w:rsidRPr="00A618BB">
      <w:rPr>
        <w:rFonts w:ascii="Trebuchet MS" w:hAnsi="Trebuchet MS"/>
      </w:rPr>
      <w:instrText xml:space="preserve"> PAGE   \* MERGEFORMAT </w:instrText>
    </w:r>
    <w:r w:rsidRPr="00A618BB">
      <w:rPr>
        <w:rFonts w:ascii="Trebuchet MS" w:hAnsi="Trebuchet MS"/>
      </w:rPr>
      <w:fldChar w:fldCharType="separate"/>
    </w:r>
    <w:r w:rsidR="00FE4165">
      <w:rPr>
        <w:rFonts w:ascii="Trebuchet MS" w:hAnsi="Trebuchet MS"/>
        <w:noProof/>
      </w:rPr>
      <w:t>2</w:t>
    </w:r>
    <w:r w:rsidRPr="00A618BB">
      <w:rPr>
        <w:rFonts w:ascii="Trebuchet MS" w:hAnsi="Trebuchet M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623D85" w:rsidRDefault="003605AD" w:rsidP="00D54B6F">
    <w:pPr>
      <w:pStyle w:val="Rodap"/>
      <w:jc w:val="right"/>
      <w:rPr>
        <w:rFonts w:ascii="Trebuchet MS" w:hAnsi="Trebuchet MS"/>
        <w:szCs w:val="14"/>
      </w:rPr>
    </w:pPr>
    <w:r w:rsidRPr="00F94782">
      <w:rPr>
        <w:rFonts w:ascii="Trebuchet MS" w:hAnsi="Trebuchet MS"/>
      </w:rPr>
      <w:fldChar w:fldCharType="begin"/>
    </w:r>
    <w:r w:rsidRPr="00F94782">
      <w:rPr>
        <w:rFonts w:ascii="Trebuchet MS" w:hAnsi="Trebuchet MS"/>
      </w:rPr>
      <w:instrText xml:space="preserve"> PAGE   \* MERGEFORMAT </w:instrText>
    </w:r>
    <w:r w:rsidRPr="00F94782">
      <w:rPr>
        <w:rFonts w:ascii="Trebuchet MS" w:hAnsi="Trebuchet MS"/>
      </w:rPr>
      <w:fldChar w:fldCharType="separate"/>
    </w:r>
    <w:r w:rsidR="00244E1F">
      <w:rPr>
        <w:rFonts w:ascii="Trebuchet MS" w:hAnsi="Trebuchet MS"/>
        <w:noProof/>
      </w:rPr>
      <w:t>6</w:t>
    </w:r>
    <w:r w:rsidRPr="00F94782">
      <w:rPr>
        <w:rFonts w:ascii="Trebuchet MS" w:hAnsi="Trebuchet M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Default="00A76120" w:rsidP="00A761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6120" w:rsidRPr="00771D16" w:rsidRDefault="00A76120" w:rsidP="00A76120">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A76120" w:rsidRPr="006C3180" w:rsidRDefault="00A76120" w:rsidP="00A76120">
    <w:pPr>
      <w:pStyle w:val="Rodap"/>
      <w:tabs>
        <w:tab w:val="clear" w:pos="4320"/>
        <w:tab w:val="clear" w:pos="8640"/>
        <w:tab w:val="left" w:pos="1820"/>
      </w:tabs>
      <w:spacing w:line="288" w:lineRule="auto"/>
      <w:ind w:left="-426" w:right="-221"/>
      <w:rPr>
        <w:rFonts w:ascii="Arial" w:hAnsi="Arial"/>
        <w:color w:val="003333"/>
        <w:sz w:val="20"/>
      </w:rPr>
    </w:pPr>
    <w:r w:rsidRPr="006C3180">
      <w:rPr>
        <w:rFonts w:ascii="Arial" w:hAnsi="Arial"/>
        <w:b/>
        <w:color w:val="003333"/>
        <w:sz w:val="22"/>
      </w:rPr>
      <w:t>www.caubr.org.br</w:t>
    </w:r>
    <w:r w:rsidRPr="006C3180">
      <w:rPr>
        <w:rFonts w:ascii="Arial" w:hAnsi="Arial"/>
        <w:color w:val="003333"/>
        <w:sz w:val="22"/>
      </w:rPr>
      <w:t xml:space="preserve">  / ies@caubr.org.br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760340" w:rsidRDefault="00A76120" w:rsidP="00A76120">
    <w:pPr>
      <w:pStyle w:val="Rodap"/>
      <w:framePr w:w="1066" w:h="362" w:hRule="exact" w:wrap="around" w:vAnchor="text" w:hAnchor="page" w:x="10369"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244E1F">
      <w:rPr>
        <w:rStyle w:val="Nmerodepgina"/>
        <w:rFonts w:ascii="Arial" w:hAnsi="Arial"/>
        <w:noProof/>
        <w:color w:val="296D7A"/>
        <w:sz w:val="18"/>
      </w:rPr>
      <w:t>21</w:t>
    </w:r>
    <w:r w:rsidRPr="00760340">
      <w:rPr>
        <w:rStyle w:val="Nmerodepgina"/>
        <w:rFonts w:ascii="Arial" w:hAnsi="Arial"/>
        <w:color w:val="296D7A"/>
        <w:sz w:val="18"/>
      </w:rPr>
      <w:fldChar w:fldCharType="end"/>
    </w:r>
  </w:p>
  <w:p w:rsidR="00A76120" w:rsidRDefault="00A76120" w:rsidP="00A761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38" w:rsidRDefault="00A81838">
      <w:r>
        <w:separator/>
      </w:r>
    </w:p>
  </w:footnote>
  <w:footnote w:type="continuationSeparator" w:id="0">
    <w:p w:rsidR="00A81838" w:rsidRDefault="00A81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8E0B6C" w:rsidRDefault="003605AD" w:rsidP="00D54B6F">
    <w:pPr>
      <w:pStyle w:val="Cabealho"/>
      <w:suppressAutoHyphens/>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Pr="00190458" w:rsidRDefault="003605AD">
    <w:pPr>
      <w:widowControl w:val="0"/>
      <w:rPr>
        <w:rFonts w:ascii="Georgia" w:hAnsi="Georgia" w:cs="Arial"/>
        <w:sz w:val="20"/>
        <w:szCs w:val="20"/>
      </w:rPr>
    </w:pPr>
  </w:p>
  <w:p w:rsidR="003605AD" w:rsidRPr="00190458" w:rsidRDefault="003605AD">
    <w:pPr>
      <w:pStyle w:val="Cabealho"/>
      <w:rPr>
        <w:rFonts w:ascii="Georgia" w:hAnsi="Georgia"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348" w:type="dxa"/>
      <w:tblLayout w:type="fixed"/>
      <w:tblCellMar>
        <w:left w:w="70" w:type="dxa"/>
        <w:right w:w="70" w:type="dxa"/>
      </w:tblCellMar>
      <w:tblLook w:val="0000" w:firstRow="0" w:lastRow="0" w:firstColumn="0" w:lastColumn="0" w:noHBand="0" w:noVBand="0"/>
    </w:tblPr>
    <w:tblGrid>
      <w:gridCol w:w="1560"/>
      <w:gridCol w:w="2977"/>
      <w:gridCol w:w="160"/>
      <w:gridCol w:w="5652"/>
    </w:tblGrid>
    <w:tr w:rsidR="003605AD" w:rsidRPr="00A136D2" w:rsidTr="00D54B6F">
      <w:trPr>
        <w:cantSplit/>
        <w:trHeight w:val="567"/>
      </w:trPr>
      <w:tc>
        <w:tcPr>
          <w:tcW w:w="1560" w:type="dxa"/>
        </w:tcPr>
        <w:p w:rsidR="003605AD" w:rsidRDefault="003605AD" w:rsidP="00D54B6F">
          <w:pPr>
            <w:pStyle w:val="Cabealho"/>
          </w:pPr>
        </w:p>
      </w:tc>
      <w:tc>
        <w:tcPr>
          <w:tcW w:w="2977" w:type="dxa"/>
          <w:vAlign w:val="bottom"/>
        </w:tcPr>
        <w:p w:rsidR="003605AD" w:rsidRDefault="003605AD" w:rsidP="00D54B6F">
          <w:pPr>
            <w:pStyle w:val="Cabealho"/>
            <w:ind w:right="-70"/>
            <w:rPr>
              <w:rFonts w:ascii="Arial" w:hAnsi="Arial"/>
              <w:b/>
              <w:color w:val="0000CA"/>
              <w:sz w:val="36"/>
            </w:rPr>
          </w:pPr>
        </w:p>
      </w:tc>
      <w:tc>
        <w:tcPr>
          <w:tcW w:w="160" w:type="dxa"/>
        </w:tcPr>
        <w:p w:rsidR="003605AD" w:rsidRDefault="003605AD" w:rsidP="00D54B6F">
          <w:pPr>
            <w:pStyle w:val="Cabealho"/>
            <w:ind w:right="-70"/>
            <w:rPr>
              <w:rFonts w:ascii="Arial" w:hAnsi="Arial"/>
              <w:b/>
              <w:color w:val="0000CA"/>
            </w:rPr>
          </w:pPr>
        </w:p>
      </w:tc>
      <w:tc>
        <w:tcPr>
          <w:tcW w:w="5652" w:type="dxa"/>
          <w:vAlign w:val="center"/>
        </w:tcPr>
        <w:p w:rsidR="003605AD" w:rsidRPr="00595725" w:rsidRDefault="003605AD" w:rsidP="00D54B6F">
          <w:pPr>
            <w:pStyle w:val="Cabealho"/>
            <w:ind w:left="-88" w:right="-70"/>
            <w:rPr>
              <w:rFonts w:ascii="Helvetica 45 Light" w:hAnsi="Helvetica 45 Light"/>
              <w:b/>
              <w:bCs/>
              <w:color w:val="000080"/>
              <w:sz w:val="16"/>
              <w:szCs w:val="16"/>
              <w:lang w:val="en-US"/>
            </w:rPr>
          </w:pPr>
        </w:p>
      </w:tc>
    </w:tr>
  </w:tbl>
  <w:p w:rsidR="003605AD" w:rsidRPr="00302231" w:rsidRDefault="003605AD" w:rsidP="00D54B6F">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5AD" w:rsidRDefault="003605AD">
    <w:pPr>
      <w:pStyle w:val="Cabealho"/>
      <w:rPr>
        <w:rFonts w:ascii="Arial" w:hAnsi="Arial" w:cs="Arial"/>
        <w:sz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FE4165" w:rsidP="00A76120">
    <w:pPr>
      <w:pStyle w:val="Cabealho"/>
      <w:ind w:left="587"/>
      <w:rPr>
        <w:color w:val="296D7A"/>
      </w:rPr>
    </w:pPr>
    <w:r>
      <w:rPr>
        <w:noProof/>
        <w:color w:val="296D7A"/>
        <w:lang w:eastAsia="pt-BR"/>
      </w:rPr>
      <w:drawing>
        <wp:anchor distT="0" distB="0" distL="114300" distR="114300" simplePos="0" relativeHeight="251658240"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6120" w:rsidRPr="009E4E5A">
      <w:rPr>
        <w:noProof/>
        <w:color w:val="296D7A"/>
        <w:lang w:val="en-US"/>
      </w:rPr>
      <w:t xml:space="preserve"> </w:t>
    </w:r>
    <w:r>
      <w:rPr>
        <w:noProof/>
        <w:color w:val="296D7A"/>
        <w:lang w:eastAsia="pt-BR"/>
      </w:rPr>
      <w:drawing>
        <wp:anchor distT="0" distB="0" distL="114300" distR="114300" simplePos="0" relativeHeight="251657216"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20" w:rsidRPr="009E4E5A" w:rsidRDefault="00A76120" w:rsidP="00A76120">
    <w:pPr>
      <w:pStyle w:val="Cabealho"/>
      <w:tabs>
        <w:tab w:val="clear" w:pos="4320"/>
        <w:tab w:val="left" w:pos="2880"/>
        <w:tab w:val="left" w:pos="6120"/>
      </w:tabs>
      <w:ind w:left="587"/>
      <w:rPr>
        <w:rFonts w:ascii="Arial" w:hAnsi="Arial"/>
        <w:color w:val="296D7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nsid w:val="1A834D3A"/>
    <w:multiLevelType w:val="hybridMultilevel"/>
    <w:tmpl w:val="8174C8D4"/>
    <w:lvl w:ilvl="0" w:tplc="5484DB3E">
      <w:start w:val="1"/>
      <w:numFmt w:val="lowerLetter"/>
      <w:lvlText w:val="%1)"/>
      <w:lvlJc w:val="left"/>
      <w:pPr>
        <w:ind w:left="2196" w:hanging="360"/>
      </w:pPr>
      <w:rPr>
        <w:rFonts w:hint="default"/>
      </w:rPr>
    </w:lvl>
    <w:lvl w:ilvl="1" w:tplc="04160019" w:tentative="1">
      <w:start w:val="1"/>
      <w:numFmt w:val="lowerLetter"/>
      <w:lvlText w:val="%2."/>
      <w:lvlJc w:val="left"/>
      <w:pPr>
        <w:ind w:left="2916" w:hanging="360"/>
      </w:pPr>
    </w:lvl>
    <w:lvl w:ilvl="2" w:tplc="0416001B" w:tentative="1">
      <w:start w:val="1"/>
      <w:numFmt w:val="lowerRoman"/>
      <w:lvlText w:val="%3."/>
      <w:lvlJc w:val="right"/>
      <w:pPr>
        <w:ind w:left="3636" w:hanging="180"/>
      </w:pPr>
    </w:lvl>
    <w:lvl w:ilvl="3" w:tplc="0416000F" w:tentative="1">
      <w:start w:val="1"/>
      <w:numFmt w:val="decimal"/>
      <w:lvlText w:val="%4."/>
      <w:lvlJc w:val="left"/>
      <w:pPr>
        <w:ind w:left="4356" w:hanging="360"/>
      </w:pPr>
    </w:lvl>
    <w:lvl w:ilvl="4" w:tplc="04160019" w:tentative="1">
      <w:start w:val="1"/>
      <w:numFmt w:val="lowerLetter"/>
      <w:lvlText w:val="%5."/>
      <w:lvlJc w:val="left"/>
      <w:pPr>
        <w:ind w:left="5076" w:hanging="360"/>
      </w:pPr>
    </w:lvl>
    <w:lvl w:ilvl="5" w:tplc="0416001B" w:tentative="1">
      <w:start w:val="1"/>
      <w:numFmt w:val="lowerRoman"/>
      <w:lvlText w:val="%6."/>
      <w:lvlJc w:val="right"/>
      <w:pPr>
        <w:ind w:left="5796" w:hanging="180"/>
      </w:pPr>
    </w:lvl>
    <w:lvl w:ilvl="6" w:tplc="0416000F" w:tentative="1">
      <w:start w:val="1"/>
      <w:numFmt w:val="decimal"/>
      <w:lvlText w:val="%7."/>
      <w:lvlJc w:val="left"/>
      <w:pPr>
        <w:ind w:left="6516" w:hanging="360"/>
      </w:pPr>
    </w:lvl>
    <w:lvl w:ilvl="7" w:tplc="04160019" w:tentative="1">
      <w:start w:val="1"/>
      <w:numFmt w:val="lowerLetter"/>
      <w:lvlText w:val="%8."/>
      <w:lvlJc w:val="left"/>
      <w:pPr>
        <w:ind w:left="7236" w:hanging="360"/>
      </w:pPr>
    </w:lvl>
    <w:lvl w:ilvl="8" w:tplc="0416001B" w:tentative="1">
      <w:start w:val="1"/>
      <w:numFmt w:val="lowerRoman"/>
      <w:lvlText w:val="%9."/>
      <w:lvlJc w:val="right"/>
      <w:pPr>
        <w:ind w:left="7956" w:hanging="180"/>
      </w:pPr>
    </w:lvl>
  </w:abstractNum>
  <w:abstractNum w:abstractNumId="2">
    <w:nsid w:val="21741713"/>
    <w:multiLevelType w:val="hybridMultilevel"/>
    <w:tmpl w:val="390CCBF2"/>
    <w:lvl w:ilvl="0" w:tplc="B1C0BE5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30D10138"/>
    <w:multiLevelType w:val="hybridMultilevel"/>
    <w:tmpl w:val="531EF590"/>
    <w:lvl w:ilvl="0" w:tplc="4D60F108">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4096B1A"/>
    <w:multiLevelType w:val="hybridMultilevel"/>
    <w:tmpl w:val="40648E8A"/>
    <w:lvl w:ilvl="0" w:tplc="9E745E86">
      <w:start w:val="1"/>
      <w:numFmt w:val="bullet"/>
      <w:lvlText w:val=""/>
      <w:lvlJc w:val="left"/>
      <w:pPr>
        <w:ind w:left="720" w:hanging="360"/>
      </w:pPr>
      <w:rPr>
        <w:rFonts w:ascii="Wingdings" w:hAnsi="Wingding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B1A5741"/>
    <w:multiLevelType w:val="hybridMultilevel"/>
    <w:tmpl w:val="B34258F2"/>
    <w:lvl w:ilvl="0" w:tplc="C43E2FC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B426D01"/>
    <w:multiLevelType w:val="hybridMultilevel"/>
    <w:tmpl w:val="BDBEAF64"/>
    <w:lvl w:ilvl="0" w:tplc="FD5443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C8B47C5"/>
    <w:multiLevelType w:val="hybridMultilevel"/>
    <w:tmpl w:val="1FF2048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5AF7FD8"/>
    <w:multiLevelType w:val="hybridMultilevel"/>
    <w:tmpl w:val="BD96A528"/>
    <w:lvl w:ilvl="0" w:tplc="B2BC426C">
      <w:start w:val="1"/>
      <w:numFmt w:val="lowerLetter"/>
      <w:lvlText w:val="%1)"/>
      <w:lvlJc w:val="left"/>
      <w:pPr>
        <w:ind w:left="1637" w:hanging="360"/>
      </w:pPr>
      <w:rPr>
        <w:rFonts w:hint="default"/>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9">
    <w:nsid w:val="7BBC3052"/>
    <w:multiLevelType w:val="hybridMultilevel"/>
    <w:tmpl w:val="BB30BA2A"/>
    <w:lvl w:ilvl="0" w:tplc="D250079E">
      <w:start w:val="1"/>
      <w:numFmt w:val="lowerLetter"/>
      <w:lvlText w:val="%1)"/>
      <w:lvlJc w:val="left"/>
      <w:pPr>
        <w:ind w:left="1350" w:hanging="360"/>
      </w:pPr>
      <w:rPr>
        <w:rFonts w:hint="default"/>
      </w:rPr>
    </w:lvl>
    <w:lvl w:ilvl="1" w:tplc="04160019" w:tentative="1">
      <w:start w:val="1"/>
      <w:numFmt w:val="lowerLetter"/>
      <w:lvlText w:val="%2."/>
      <w:lvlJc w:val="left"/>
      <w:pPr>
        <w:ind w:left="2070" w:hanging="360"/>
      </w:pPr>
    </w:lvl>
    <w:lvl w:ilvl="2" w:tplc="0416001B" w:tentative="1">
      <w:start w:val="1"/>
      <w:numFmt w:val="lowerRoman"/>
      <w:lvlText w:val="%3."/>
      <w:lvlJc w:val="right"/>
      <w:pPr>
        <w:ind w:left="2790" w:hanging="180"/>
      </w:pPr>
    </w:lvl>
    <w:lvl w:ilvl="3" w:tplc="0416000F" w:tentative="1">
      <w:start w:val="1"/>
      <w:numFmt w:val="decimal"/>
      <w:lvlText w:val="%4."/>
      <w:lvlJc w:val="left"/>
      <w:pPr>
        <w:ind w:left="3510" w:hanging="360"/>
      </w:pPr>
    </w:lvl>
    <w:lvl w:ilvl="4" w:tplc="04160019" w:tentative="1">
      <w:start w:val="1"/>
      <w:numFmt w:val="lowerLetter"/>
      <w:lvlText w:val="%5."/>
      <w:lvlJc w:val="left"/>
      <w:pPr>
        <w:ind w:left="4230" w:hanging="360"/>
      </w:pPr>
    </w:lvl>
    <w:lvl w:ilvl="5" w:tplc="0416001B" w:tentative="1">
      <w:start w:val="1"/>
      <w:numFmt w:val="lowerRoman"/>
      <w:lvlText w:val="%6."/>
      <w:lvlJc w:val="right"/>
      <w:pPr>
        <w:ind w:left="4950" w:hanging="180"/>
      </w:pPr>
    </w:lvl>
    <w:lvl w:ilvl="6" w:tplc="0416000F" w:tentative="1">
      <w:start w:val="1"/>
      <w:numFmt w:val="decimal"/>
      <w:lvlText w:val="%7."/>
      <w:lvlJc w:val="left"/>
      <w:pPr>
        <w:ind w:left="5670" w:hanging="360"/>
      </w:pPr>
    </w:lvl>
    <w:lvl w:ilvl="7" w:tplc="04160019" w:tentative="1">
      <w:start w:val="1"/>
      <w:numFmt w:val="lowerLetter"/>
      <w:lvlText w:val="%8."/>
      <w:lvlJc w:val="left"/>
      <w:pPr>
        <w:ind w:left="6390" w:hanging="360"/>
      </w:pPr>
    </w:lvl>
    <w:lvl w:ilvl="8" w:tplc="0416001B" w:tentative="1">
      <w:start w:val="1"/>
      <w:numFmt w:val="lowerRoman"/>
      <w:lvlText w:val="%9."/>
      <w:lvlJc w:val="right"/>
      <w:pPr>
        <w:ind w:left="7110" w:hanging="180"/>
      </w:pPr>
    </w:lvl>
  </w:abstractNum>
  <w:num w:numId="1">
    <w:abstractNumId w:val="0"/>
  </w:num>
  <w:num w:numId="2">
    <w:abstractNumId w:val="7"/>
  </w:num>
  <w:num w:numId="3">
    <w:abstractNumId w:val="5"/>
  </w:num>
  <w:num w:numId="4">
    <w:abstractNumId w:val="6"/>
  </w:num>
  <w:num w:numId="5">
    <w:abstractNumId w:val="8"/>
  </w:num>
  <w:num w:numId="6">
    <w:abstractNumId w:val="3"/>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612"/>
    <w:rsid w:val="000064BA"/>
    <w:rsid w:val="000153A5"/>
    <w:rsid w:val="00016FB5"/>
    <w:rsid w:val="00017CDE"/>
    <w:rsid w:val="00021EA1"/>
    <w:rsid w:val="00026020"/>
    <w:rsid w:val="00036428"/>
    <w:rsid w:val="000449DB"/>
    <w:rsid w:val="00052517"/>
    <w:rsid w:val="00055CDC"/>
    <w:rsid w:val="00060128"/>
    <w:rsid w:val="00062C8E"/>
    <w:rsid w:val="00064DBC"/>
    <w:rsid w:val="00067157"/>
    <w:rsid w:val="00072F41"/>
    <w:rsid w:val="00077438"/>
    <w:rsid w:val="000858C4"/>
    <w:rsid w:val="00092134"/>
    <w:rsid w:val="00092BAA"/>
    <w:rsid w:val="00093C67"/>
    <w:rsid w:val="000968DB"/>
    <w:rsid w:val="00097C40"/>
    <w:rsid w:val="000A1F37"/>
    <w:rsid w:val="000A284F"/>
    <w:rsid w:val="000A7F9B"/>
    <w:rsid w:val="000B0196"/>
    <w:rsid w:val="000B09AA"/>
    <w:rsid w:val="000B2976"/>
    <w:rsid w:val="000B5D43"/>
    <w:rsid w:val="000B62B4"/>
    <w:rsid w:val="000B6B11"/>
    <w:rsid w:val="000B7944"/>
    <w:rsid w:val="000C10E3"/>
    <w:rsid w:val="000C5F02"/>
    <w:rsid w:val="000C757C"/>
    <w:rsid w:val="000C79CE"/>
    <w:rsid w:val="000D03DB"/>
    <w:rsid w:val="000D0670"/>
    <w:rsid w:val="000E2159"/>
    <w:rsid w:val="000E27E9"/>
    <w:rsid w:val="000E3A61"/>
    <w:rsid w:val="000E7B1E"/>
    <w:rsid w:val="000F0A3A"/>
    <w:rsid w:val="000F3533"/>
    <w:rsid w:val="000F4F86"/>
    <w:rsid w:val="000F779E"/>
    <w:rsid w:val="00101382"/>
    <w:rsid w:val="00103169"/>
    <w:rsid w:val="001035F0"/>
    <w:rsid w:val="00103E20"/>
    <w:rsid w:val="00110C25"/>
    <w:rsid w:val="001111B2"/>
    <w:rsid w:val="00112A0F"/>
    <w:rsid w:val="00114A27"/>
    <w:rsid w:val="001246F7"/>
    <w:rsid w:val="001353F6"/>
    <w:rsid w:val="001510F8"/>
    <w:rsid w:val="00151199"/>
    <w:rsid w:val="001545C3"/>
    <w:rsid w:val="00156495"/>
    <w:rsid w:val="00166E81"/>
    <w:rsid w:val="00172630"/>
    <w:rsid w:val="0018418B"/>
    <w:rsid w:val="00186006"/>
    <w:rsid w:val="0019238E"/>
    <w:rsid w:val="0019335A"/>
    <w:rsid w:val="00195DCD"/>
    <w:rsid w:val="00196067"/>
    <w:rsid w:val="001A04DB"/>
    <w:rsid w:val="001A7336"/>
    <w:rsid w:val="001B27C7"/>
    <w:rsid w:val="001B2D8F"/>
    <w:rsid w:val="001B72BD"/>
    <w:rsid w:val="001C0F2B"/>
    <w:rsid w:val="001C3CF7"/>
    <w:rsid w:val="001D1722"/>
    <w:rsid w:val="001D3F6F"/>
    <w:rsid w:val="001E28DC"/>
    <w:rsid w:val="001E55FA"/>
    <w:rsid w:val="001E6A27"/>
    <w:rsid w:val="001F193A"/>
    <w:rsid w:val="001F2C88"/>
    <w:rsid w:val="001F5A4B"/>
    <w:rsid w:val="001F6591"/>
    <w:rsid w:val="001F758F"/>
    <w:rsid w:val="00200D49"/>
    <w:rsid w:val="002039DB"/>
    <w:rsid w:val="00205C0C"/>
    <w:rsid w:val="00210364"/>
    <w:rsid w:val="002203DB"/>
    <w:rsid w:val="0022142E"/>
    <w:rsid w:val="0022236C"/>
    <w:rsid w:val="00223D98"/>
    <w:rsid w:val="00230884"/>
    <w:rsid w:val="00237B9F"/>
    <w:rsid w:val="0024043F"/>
    <w:rsid w:val="00241BC5"/>
    <w:rsid w:val="00244E1F"/>
    <w:rsid w:val="00250997"/>
    <w:rsid w:val="00250D05"/>
    <w:rsid w:val="002645AC"/>
    <w:rsid w:val="00266F40"/>
    <w:rsid w:val="00266F65"/>
    <w:rsid w:val="002673EB"/>
    <w:rsid w:val="002705B0"/>
    <w:rsid w:val="002742BE"/>
    <w:rsid w:val="00281114"/>
    <w:rsid w:val="002817DB"/>
    <w:rsid w:val="0028341E"/>
    <w:rsid w:val="002836CA"/>
    <w:rsid w:val="002854AF"/>
    <w:rsid w:val="00285B09"/>
    <w:rsid w:val="00286A66"/>
    <w:rsid w:val="00290443"/>
    <w:rsid w:val="0029257D"/>
    <w:rsid w:val="002A1EF4"/>
    <w:rsid w:val="002B287E"/>
    <w:rsid w:val="002B3449"/>
    <w:rsid w:val="002B435C"/>
    <w:rsid w:val="002C0240"/>
    <w:rsid w:val="002C4841"/>
    <w:rsid w:val="002D5DC5"/>
    <w:rsid w:val="002E0D93"/>
    <w:rsid w:val="002E37BB"/>
    <w:rsid w:val="002E7D3F"/>
    <w:rsid w:val="002F2371"/>
    <w:rsid w:val="00301DAB"/>
    <w:rsid w:val="00303F53"/>
    <w:rsid w:val="00304CFF"/>
    <w:rsid w:val="003070F6"/>
    <w:rsid w:val="00317979"/>
    <w:rsid w:val="00321194"/>
    <w:rsid w:val="00326171"/>
    <w:rsid w:val="00331B3F"/>
    <w:rsid w:val="00331DD0"/>
    <w:rsid w:val="00336071"/>
    <w:rsid w:val="0034346F"/>
    <w:rsid w:val="003451A6"/>
    <w:rsid w:val="0035248C"/>
    <w:rsid w:val="00352B3A"/>
    <w:rsid w:val="00352BF4"/>
    <w:rsid w:val="003572CC"/>
    <w:rsid w:val="003605AD"/>
    <w:rsid w:val="0036196F"/>
    <w:rsid w:val="00363FDE"/>
    <w:rsid w:val="00364A07"/>
    <w:rsid w:val="00371ECD"/>
    <w:rsid w:val="00372AC6"/>
    <w:rsid w:val="00383005"/>
    <w:rsid w:val="0038607B"/>
    <w:rsid w:val="0038618F"/>
    <w:rsid w:val="00387C5B"/>
    <w:rsid w:val="00394510"/>
    <w:rsid w:val="003A23FE"/>
    <w:rsid w:val="003A4D46"/>
    <w:rsid w:val="003B1664"/>
    <w:rsid w:val="003B62D9"/>
    <w:rsid w:val="003C27FD"/>
    <w:rsid w:val="003C3639"/>
    <w:rsid w:val="003C3B63"/>
    <w:rsid w:val="003C3F55"/>
    <w:rsid w:val="003C6378"/>
    <w:rsid w:val="003D213E"/>
    <w:rsid w:val="003D302F"/>
    <w:rsid w:val="003F0D27"/>
    <w:rsid w:val="003F5183"/>
    <w:rsid w:val="003F62DD"/>
    <w:rsid w:val="003F6BA0"/>
    <w:rsid w:val="00406E75"/>
    <w:rsid w:val="00423552"/>
    <w:rsid w:val="00425B1D"/>
    <w:rsid w:val="00427CD2"/>
    <w:rsid w:val="004316A4"/>
    <w:rsid w:val="00432565"/>
    <w:rsid w:val="004328F7"/>
    <w:rsid w:val="0043334E"/>
    <w:rsid w:val="004349F8"/>
    <w:rsid w:val="00442DDC"/>
    <w:rsid w:val="00445531"/>
    <w:rsid w:val="00450917"/>
    <w:rsid w:val="0045185F"/>
    <w:rsid w:val="00457A9E"/>
    <w:rsid w:val="00460D50"/>
    <w:rsid w:val="004707B0"/>
    <w:rsid w:val="004720FC"/>
    <w:rsid w:val="004749E7"/>
    <w:rsid w:val="0047795A"/>
    <w:rsid w:val="004817D4"/>
    <w:rsid w:val="00483FE1"/>
    <w:rsid w:val="004853D0"/>
    <w:rsid w:val="00490D89"/>
    <w:rsid w:val="00490ECE"/>
    <w:rsid w:val="004929A6"/>
    <w:rsid w:val="00494F0A"/>
    <w:rsid w:val="004A043D"/>
    <w:rsid w:val="004A0B3A"/>
    <w:rsid w:val="004A20E6"/>
    <w:rsid w:val="004A3372"/>
    <w:rsid w:val="004A58DF"/>
    <w:rsid w:val="004A62AC"/>
    <w:rsid w:val="004A658A"/>
    <w:rsid w:val="004A7D46"/>
    <w:rsid w:val="004A7DC5"/>
    <w:rsid w:val="004B57DB"/>
    <w:rsid w:val="004B6781"/>
    <w:rsid w:val="004C2620"/>
    <w:rsid w:val="004C5D04"/>
    <w:rsid w:val="004C7F9D"/>
    <w:rsid w:val="004D748D"/>
    <w:rsid w:val="004E1DF1"/>
    <w:rsid w:val="004F453F"/>
    <w:rsid w:val="004F78A5"/>
    <w:rsid w:val="005112B5"/>
    <w:rsid w:val="005137F5"/>
    <w:rsid w:val="00517848"/>
    <w:rsid w:val="0052113D"/>
    <w:rsid w:val="00532420"/>
    <w:rsid w:val="005335E8"/>
    <w:rsid w:val="00547886"/>
    <w:rsid w:val="00551A74"/>
    <w:rsid w:val="00554AA9"/>
    <w:rsid w:val="0056072A"/>
    <w:rsid w:val="0056077C"/>
    <w:rsid w:val="005710D9"/>
    <w:rsid w:val="005736F0"/>
    <w:rsid w:val="00575B24"/>
    <w:rsid w:val="00576ECF"/>
    <w:rsid w:val="00586B43"/>
    <w:rsid w:val="00590791"/>
    <w:rsid w:val="0059098A"/>
    <w:rsid w:val="00590B33"/>
    <w:rsid w:val="00591988"/>
    <w:rsid w:val="005928F6"/>
    <w:rsid w:val="00593663"/>
    <w:rsid w:val="00597104"/>
    <w:rsid w:val="005A1AF1"/>
    <w:rsid w:val="005B15AE"/>
    <w:rsid w:val="005B2290"/>
    <w:rsid w:val="005B58EE"/>
    <w:rsid w:val="005B5A57"/>
    <w:rsid w:val="005B7AB7"/>
    <w:rsid w:val="005C11BC"/>
    <w:rsid w:val="005C61DC"/>
    <w:rsid w:val="005C7BA1"/>
    <w:rsid w:val="005D55A1"/>
    <w:rsid w:val="005E3DF1"/>
    <w:rsid w:val="005F0E6E"/>
    <w:rsid w:val="005F21D6"/>
    <w:rsid w:val="005F7363"/>
    <w:rsid w:val="00602450"/>
    <w:rsid w:val="006062C9"/>
    <w:rsid w:val="00607355"/>
    <w:rsid w:val="0061745F"/>
    <w:rsid w:val="00624B4A"/>
    <w:rsid w:val="00640647"/>
    <w:rsid w:val="00641A2D"/>
    <w:rsid w:val="00652010"/>
    <w:rsid w:val="006540AC"/>
    <w:rsid w:val="006560FF"/>
    <w:rsid w:val="00661303"/>
    <w:rsid w:val="006638FE"/>
    <w:rsid w:val="00665BDE"/>
    <w:rsid w:val="00666D24"/>
    <w:rsid w:val="00672A7E"/>
    <w:rsid w:val="00674488"/>
    <w:rsid w:val="0068463E"/>
    <w:rsid w:val="00685442"/>
    <w:rsid w:val="0069104D"/>
    <w:rsid w:val="006937B3"/>
    <w:rsid w:val="006A1BD3"/>
    <w:rsid w:val="006A1FCA"/>
    <w:rsid w:val="006A2BED"/>
    <w:rsid w:val="006B4305"/>
    <w:rsid w:val="006B48F3"/>
    <w:rsid w:val="006C3180"/>
    <w:rsid w:val="006D6FFC"/>
    <w:rsid w:val="006F3389"/>
    <w:rsid w:val="006F4A0D"/>
    <w:rsid w:val="006F5BDF"/>
    <w:rsid w:val="006F602C"/>
    <w:rsid w:val="006F72F1"/>
    <w:rsid w:val="007013A6"/>
    <w:rsid w:val="00702341"/>
    <w:rsid w:val="0070348F"/>
    <w:rsid w:val="00717B62"/>
    <w:rsid w:val="00720FA7"/>
    <w:rsid w:val="00721DA2"/>
    <w:rsid w:val="0072309B"/>
    <w:rsid w:val="00727669"/>
    <w:rsid w:val="00730896"/>
    <w:rsid w:val="007332F4"/>
    <w:rsid w:val="00767AE2"/>
    <w:rsid w:val="00770FD8"/>
    <w:rsid w:val="00771221"/>
    <w:rsid w:val="00772854"/>
    <w:rsid w:val="00774756"/>
    <w:rsid w:val="007770F6"/>
    <w:rsid w:val="00777819"/>
    <w:rsid w:val="00782F6D"/>
    <w:rsid w:val="007841C8"/>
    <w:rsid w:val="00792D85"/>
    <w:rsid w:val="007942EF"/>
    <w:rsid w:val="007A10D6"/>
    <w:rsid w:val="007A201A"/>
    <w:rsid w:val="007A6F78"/>
    <w:rsid w:val="007B0F86"/>
    <w:rsid w:val="007B38C5"/>
    <w:rsid w:val="007B404F"/>
    <w:rsid w:val="007C2CAA"/>
    <w:rsid w:val="007C50A4"/>
    <w:rsid w:val="007C5508"/>
    <w:rsid w:val="007D22A5"/>
    <w:rsid w:val="007D27B9"/>
    <w:rsid w:val="007D28A7"/>
    <w:rsid w:val="007D4622"/>
    <w:rsid w:val="007D6CDF"/>
    <w:rsid w:val="007D6DDC"/>
    <w:rsid w:val="007F0D3F"/>
    <w:rsid w:val="007F77CC"/>
    <w:rsid w:val="00800D25"/>
    <w:rsid w:val="008051A5"/>
    <w:rsid w:val="00815FF5"/>
    <w:rsid w:val="008208AC"/>
    <w:rsid w:val="00824F45"/>
    <w:rsid w:val="0082516F"/>
    <w:rsid w:val="00825C08"/>
    <w:rsid w:val="008364A1"/>
    <w:rsid w:val="0084169D"/>
    <w:rsid w:val="00851A6C"/>
    <w:rsid w:val="008548FF"/>
    <w:rsid w:val="00854919"/>
    <w:rsid w:val="0086077B"/>
    <w:rsid w:val="008626CC"/>
    <w:rsid w:val="008716AD"/>
    <w:rsid w:val="008777BD"/>
    <w:rsid w:val="00880AF0"/>
    <w:rsid w:val="00886BD7"/>
    <w:rsid w:val="00887F5B"/>
    <w:rsid w:val="00896E68"/>
    <w:rsid w:val="008A3018"/>
    <w:rsid w:val="008A4990"/>
    <w:rsid w:val="008A7752"/>
    <w:rsid w:val="008B1A8D"/>
    <w:rsid w:val="008B37BA"/>
    <w:rsid w:val="008B79C4"/>
    <w:rsid w:val="008B7DDD"/>
    <w:rsid w:val="008C0062"/>
    <w:rsid w:val="008C0DAC"/>
    <w:rsid w:val="008C0F2C"/>
    <w:rsid w:val="008C1582"/>
    <w:rsid w:val="008C4CF7"/>
    <w:rsid w:val="008C72AB"/>
    <w:rsid w:val="008C7FB7"/>
    <w:rsid w:val="008D089A"/>
    <w:rsid w:val="008D111F"/>
    <w:rsid w:val="008D3D6D"/>
    <w:rsid w:val="008D5E1B"/>
    <w:rsid w:val="008D633F"/>
    <w:rsid w:val="008D66B1"/>
    <w:rsid w:val="008E43E9"/>
    <w:rsid w:val="008E622C"/>
    <w:rsid w:val="008E75A4"/>
    <w:rsid w:val="008F11B8"/>
    <w:rsid w:val="008F3134"/>
    <w:rsid w:val="008F3EA4"/>
    <w:rsid w:val="00904887"/>
    <w:rsid w:val="00914A22"/>
    <w:rsid w:val="009157EF"/>
    <w:rsid w:val="00916699"/>
    <w:rsid w:val="00925866"/>
    <w:rsid w:val="00925894"/>
    <w:rsid w:val="009310A2"/>
    <w:rsid w:val="00931F37"/>
    <w:rsid w:val="00932B08"/>
    <w:rsid w:val="009357B2"/>
    <w:rsid w:val="00941DDD"/>
    <w:rsid w:val="00947F2A"/>
    <w:rsid w:val="0097113F"/>
    <w:rsid w:val="0097174C"/>
    <w:rsid w:val="00974EC1"/>
    <w:rsid w:val="00992CE1"/>
    <w:rsid w:val="0099431D"/>
    <w:rsid w:val="009961E7"/>
    <w:rsid w:val="009A1978"/>
    <w:rsid w:val="009A4B5F"/>
    <w:rsid w:val="009B11CA"/>
    <w:rsid w:val="009B20FE"/>
    <w:rsid w:val="009B2268"/>
    <w:rsid w:val="009B5C45"/>
    <w:rsid w:val="009C301B"/>
    <w:rsid w:val="009C6250"/>
    <w:rsid w:val="009D7966"/>
    <w:rsid w:val="009E29F6"/>
    <w:rsid w:val="009F0BC9"/>
    <w:rsid w:val="009F5B31"/>
    <w:rsid w:val="00A07AF3"/>
    <w:rsid w:val="00A14140"/>
    <w:rsid w:val="00A15D4E"/>
    <w:rsid w:val="00A16201"/>
    <w:rsid w:val="00A169CB"/>
    <w:rsid w:val="00A24854"/>
    <w:rsid w:val="00A26955"/>
    <w:rsid w:val="00A30963"/>
    <w:rsid w:val="00A31568"/>
    <w:rsid w:val="00A337D7"/>
    <w:rsid w:val="00A349F4"/>
    <w:rsid w:val="00A36031"/>
    <w:rsid w:val="00A405F3"/>
    <w:rsid w:val="00A44754"/>
    <w:rsid w:val="00A47510"/>
    <w:rsid w:val="00A54403"/>
    <w:rsid w:val="00A55A3A"/>
    <w:rsid w:val="00A56EA1"/>
    <w:rsid w:val="00A72C3B"/>
    <w:rsid w:val="00A76120"/>
    <w:rsid w:val="00A76564"/>
    <w:rsid w:val="00A81838"/>
    <w:rsid w:val="00A86139"/>
    <w:rsid w:val="00A91ADA"/>
    <w:rsid w:val="00A91E87"/>
    <w:rsid w:val="00A92420"/>
    <w:rsid w:val="00AA645F"/>
    <w:rsid w:val="00AB1881"/>
    <w:rsid w:val="00AB2554"/>
    <w:rsid w:val="00AB3E0D"/>
    <w:rsid w:val="00AB70CE"/>
    <w:rsid w:val="00AC067C"/>
    <w:rsid w:val="00AC075F"/>
    <w:rsid w:val="00AC556E"/>
    <w:rsid w:val="00AC62F7"/>
    <w:rsid w:val="00AD66B0"/>
    <w:rsid w:val="00AD7333"/>
    <w:rsid w:val="00AE0C23"/>
    <w:rsid w:val="00AF49D4"/>
    <w:rsid w:val="00B048BA"/>
    <w:rsid w:val="00B110FB"/>
    <w:rsid w:val="00B2014A"/>
    <w:rsid w:val="00B2672F"/>
    <w:rsid w:val="00B26FC9"/>
    <w:rsid w:val="00B27DC3"/>
    <w:rsid w:val="00B3096A"/>
    <w:rsid w:val="00B363C5"/>
    <w:rsid w:val="00B47E63"/>
    <w:rsid w:val="00B51D5B"/>
    <w:rsid w:val="00B60B0F"/>
    <w:rsid w:val="00B61C3A"/>
    <w:rsid w:val="00B64170"/>
    <w:rsid w:val="00B6642B"/>
    <w:rsid w:val="00B72C4F"/>
    <w:rsid w:val="00B76354"/>
    <w:rsid w:val="00B76CA9"/>
    <w:rsid w:val="00B9483F"/>
    <w:rsid w:val="00B96702"/>
    <w:rsid w:val="00BA2A22"/>
    <w:rsid w:val="00BA46BB"/>
    <w:rsid w:val="00BB75FB"/>
    <w:rsid w:val="00BC0B49"/>
    <w:rsid w:val="00BC3FC9"/>
    <w:rsid w:val="00BC5F33"/>
    <w:rsid w:val="00BC72DD"/>
    <w:rsid w:val="00BD326A"/>
    <w:rsid w:val="00BD4D39"/>
    <w:rsid w:val="00BE4792"/>
    <w:rsid w:val="00BF1188"/>
    <w:rsid w:val="00BF1299"/>
    <w:rsid w:val="00BF1700"/>
    <w:rsid w:val="00BF4BB9"/>
    <w:rsid w:val="00BF55A9"/>
    <w:rsid w:val="00C003D9"/>
    <w:rsid w:val="00C07ABD"/>
    <w:rsid w:val="00C1170E"/>
    <w:rsid w:val="00C12214"/>
    <w:rsid w:val="00C12771"/>
    <w:rsid w:val="00C1676F"/>
    <w:rsid w:val="00C171AB"/>
    <w:rsid w:val="00C246F5"/>
    <w:rsid w:val="00C271AA"/>
    <w:rsid w:val="00C276F6"/>
    <w:rsid w:val="00C319C4"/>
    <w:rsid w:val="00C32FE0"/>
    <w:rsid w:val="00C34893"/>
    <w:rsid w:val="00C34C41"/>
    <w:rsid w:val="00C37C50"/>
    <w:rsid w:val="00C43CC3"/>
    <w:rsid w:val="00C525D3"/>
    <w:rsid w:val="00C54588"/>
    <w:rsid w:val="00C56803"/>
    <w:rsid w:val="00C5742C"/>
    <w:rsid w:val="00C64A0C"/>
    <w:rsid w:val="00C71F97"/>
    <w:rsid w:val="00C74187"/>
    <w:rsid w:val="00C76BA5"/>
    <w:rsid w:val="00C8087F"/>
    <w:rsid w:val="00C82531"/>
    <w:rsid w:val="00C84F18"/>
    <w:rsid w:val="00C85F88"/>
    <w:rsid w:val="00CA28BF"/>
    <w:rsid w:val="00CA3B09"/>
    <w:rsid w:val="00CA4C6D"/>
    <w:rsid w:val="00CA67DB"/>
    <w:rsid w:val="00CB085A"/>
    <w:rsid w:val="00CB4212"/>
    <w:rsid w:val="00CB45A9"/>
    <w:rsid w:val="00CC5262"/>
    <w:rsid w:val="00CC7557"/>
    <w:rsid w:val="00CD25C0"/>
    <w:rsid w:val="00CE0317"/>
    <w:rsid w:val="00CE102F"/>
    <w:rsid w:val="00CE4262"/>
    <w:rsid w:val="00CE597C"/>
    <w:rsid w:val="00CE5A4B"/>
    <w:rsid w:val="00CF19F0"/>
    <w:rsid w:val="00CF2CA3"/>
    <w:rsid w:val="00CF5BAF"/>
    <w:rsid w:val="00D07533"/>
    <w:rsid w:val="00D15A23"/>
    <w:rsid w:val="00D15F69"/>
    <w:rsid w:val="00D168D8"/>
    <w:rsid w:val="00D17281"/>
    <w:rsid w:val="00D20A05"/>
    <w:rsid w:val="00D20DAD"/>
    <w:rsid w:val="00D264F1"/>
    <w:rsid w:val="00D27416"/>
    <w:rsid w:val="00D3192E"/>
    <w:rsid w:val="00D32232"/>
    <w:rsid w:val="00D34BE3"/>
    <w:rsid w:val="00D44D47"/>
    <w:rsid w:val="00D44ED2"/>
    <w:rsid w:val="00D46385"/>
    <w:rsid w:val="00D534B2"/>
    <w:rsid w:val="00D54B6F"/>
    <w:rsid w:val="00D60B33"/>
    <w:rsid w:val="00D6331B"/>
    <w:rsid w:val="00D6349A"/>
    <w:rsid w:val="00D63EBE"/>
    <w:rsid w:val="00D656DA"/>
    <w:rsid w:val="00D65A9E"/>
    <w:rsid w:val="00D66A9C"/>
    <w:rsid w:val="00D8149B"/>
    <w:rsid w:val="00D83140"/>
    <w:rsid w:val="00D8357C"/>
    <w:rsid w:val="00D83D78"/>
    <w:rsid w:val="00D85113"/>
    <w:rsid w:val="00D87CC5"/>
    <w:rsid w:val="00D93074"/>
    <w:rsid w:val="00DA388A"/>
    <w:rsid w:val="00DB7820"/>
    <w:rsid w:val="00DB7B48"/>
    <w:rsid w:val="00DC33DB"/>
    <w:rsid w:val="00DC57BD"/>
    <w:rsid w:val="00DC70BE"/>
    <w:rsid w:val="00DD5242"/>
    <w:rsid w:val="00DE04DC"/>
    <w:rsid w:val="00DE267D"/>
    <w:rsid w:val="00DF168D"/>
    <w:rsid w:val="00DF34C3"/>
    <w:rsid w:val="00DF6859"/>
    <w:rsid w:val="00E00BA5"/>
    <w:rsid w:val="00E02CB6"/>
    <w:rsid w:val="00E157C5"/>
    <w:rsid w:val="00E23D6C"/>
    <w:rsid w:val="00E270DE"/>
    <w:rsid w:val="00E27296"/>
    <w:rsid w:val="00E276FE"/>
    <w:rsid w:val="00E31549"/>
    <w:rsid w:val="00E33692"/>
    <w:rsid w:val="00E337A6"/>
    <w:rsid w:val="00E3490F"/>
    <w:rsid w:val="00E356B0"/>
    <w:rsid w:val="00E4014E"/>
    <w:rsid w:val="00E444F0"/>
    <w:rsid w:val="00E47414"/>
    <w:rsid w:val="00E476C7"/>
    <w:rsid w:val="00E55D26"/>
    <w:rsid w:val="00E60144"/>
    <w:rsid w:val="00E61840"/>
    <w:rsid w:val="00E63D12"/>
    <w:rsid w:val="00E64F8C"/>
    <w:rsid w:val="00E75204"/>
    <w:rsid w:val="00E757DD"/>
    <w:rsid w:val="00E81EDE"/>
    <w:rsid w:val="00E837B3"/>
    <w:rsid w:val="00E85144"/>
    <w:rsid w:val="00E87E8B"/>
    <w:rsid w:val="00E936E8"/>
    <w:rsid w:val="00E93CA7"/>
    <w:rsid w:val="00E963D0"/>
    <w:rsid w:val="00E96A8C"/>
    <w:rsid w:val="00EA0FD8"/>
    <w:rsid w:val="00EA3405"/>
    <w:rsid w:val="00EA5769"/>
    <w:rsid w:val="00EB1AB2"/>
    <w:rsid w:val="00EC0920"/>
    <w:rsid w:val="00EC191B"/>
    <w:rsid w:val="00EC2638"/>
    <w:rsid w:val="00EC30B3"/>
    <w:rsid w:val="00EC344D"/>
    <w:rsid w:val="00EC3FD6"/>
    <w:rsid w:val="00EC7CB2"/>
    <w:rsid w:val="00ED1555"/>
    <w:rsid w:val="00ED275F"/>
    <w:rsid w:val="00ED3423"/>
    <w:rsid w:val="00ED5570"/>
    <w:rsid w:val="00ED6214"/>
    <w:rsid w:val="00EE0F54"/>
    <w:rsid w:val="00EE44DD"/>
    <w:rsid w:val="00EE7CC4"/>
    <w:rsid w:val="00EF0E1F"/>
    <w:rsid w:val="00EF14D0"/>
    <w:rsid w:val="00EF14D5"/>
    <w:rsid w:val="00EF1CC0"/>
    <w:rsid w:val="00EF1EDD"/>
    <w:rsid w:val="00EF2768"/>
    <w:rsid w:val="00EF2BE0"/>
    <w:rsid w:val="00EF2E97"/>
    <w:rsid w:val="00EF4702"/>
    <w:rsid w:val="00EF6A33"/>
    <w:rsid w:val="00EF7511"/>
    <w:rsid w:val="00F008AE"/>
    <w:rsid w:val="00F01C15"/>
    <w:rsid w:val="00F04FCA"/>
    <w:rsid w:val="00F20805"/>
    <w:rsid w:val="00F20AD7"/>
    <w:rsid w:val="00F2160F"/>
    <w:rsid w:val="00F269AF"/>
    <w:rsid w:val="00F300D1"/>
    <w:rsid w:val="00F30217"/>
    <w:rsid w:val="00F319D4"/>
    <w:rsid w:val="00F3480F"/>
    <w:rsid w:val="00F372DE"/>
    <w:rsid w:val="00F449E9"/>
    <w:rsid w:val="00F44E4A"/>
    <w:rsid w:val="00F52C41"/>
    <w:rsid w:val="00F52FD1"/>
    <w:rsid w:val="00F569E7"/>
    <w:rsid w:val="00F6542F"/>
    <w:rsid w:val="00F657FD"/>
    <w:rsid w:val="00F67CF1"/>
    <w:rsid w:val="00F759F5"/>
    <w:rsid w:val="00F844B2"/>
    <w:rsid w:val="00F84DA7"/>
    <w:rsid w:val="00F86D77"/>
    <w:rsid w:val="00F9307D"/>
    <w:rsid w:val="00F94808"/>
    <w:rsid w:val="00F95FB3"/>
    <w:rsid w:val="00FA26FA"/>
    <w:rsid w:val="00FA6F89"/>
    <w:rsid w:val="00FB37B2"/>
    <w:rsid w:val="00FC18BE"/>
    <w:rsid w:val="00FC1D0E"/>
    <w:rsid w:val="00FD6A46"/>
    <w:rsid w:val="00FE0591"/>
    <w:rsid w:val="00FE25A3"/>
    <w:rsid w:val="00FE32A7"/>
    <w:rsid w:val="00FE33AB"/>
    <w:rsid w:val="00FE4165"/>
    <w:rsid w:val="00FE5EA8"/>
    <w:rsid w:val="00FE67BF"/>
    <w:rsid w:val="00FF3707"/>
    <w:rsid w:val="00FF4368"/>
    <w:rsid w:val="00FF5348"/>
  </w:rsids>
  <m:mathPr>
    <m:mathFont m:val="Cambria Math"/>
    <m:brkBin m:val="before"/>
    <m:brkBinSub m:val="--"/>
    <m:smallFrac m:val="0"/>
    <m:dispDef m:val="0"/>
    <m:lMargin m:val="0"/>
    <m:rMargin m:val="0"/>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f61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 Spacing"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paragraph" w:styleId="Ttulo2">
    <w:name w:val="heading 2"/>
    <w:basedOn w:val="Normal"/>
    <w:next w:val="Normal"/>
    <w:link w:val="Ttulo2Char"/>
    <w:semiHidden/>
    <w:unhideWhenUsed/>
    <w:qFormat/>
    <w:rsid w:val="003D302F"/>
    <w:pPr>
      <w:keepNext/>
      <w:spacing w:before="240" w:after="60"/>
      <w:outlineLvl w:val="1"/>
    </w:pPr>
    <w:rPr>
      <w:rFonts w:eastAsia="Times New Roman"/>
      <w:b/>
      <w:bCs/>
      <w:i/>
      <w:iCs/>
      <w:sz w:val="28"/>
      <w:szCs w:val="28"/>
    </w:rPr>
  </w:style>
  <w:style w:type="paragraph" w:styleId="Ttulo3">
    <w:name w:val="heading 3"/>
    <w:basedOn w:val="Normal"/>
    <w:next w:val="Normal"/>
    <w:link w:val="Ttulo3Char"/>
    <w:semiHidden/>
    <w:unhideWhenUsed/>
    <w:qFormat/>
    <w:rsid w:val="003605AD"/>
    <w:pPr>
      <w:keepNext/>
      <w:spacing w:before="240" w:after="60"/>
      <w:outlineLvl w:val="2"/>
    </w:pPr>
    <w:rPr>
      <w:rFonts w:eastAsia="Times New Roman"/>
      <w:b/>
      <w:bCs/>
      <w:sz w:val="26"/>
      <w:szCs w:val="26"/>
    </w:rPr>
  </w:style>
  <w:style w:type="character" w:default="1" w:styleId="Fontepargpadro">
    <w:name w:val="Default Paragraph Font"/>
    <w:unhideWhenUsed/>
  </w:style>
  <w:style w:type="table" w:default="1" w:styleId="Tabelanormal">
    <w:name w:val="Normal Table"/>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Cabealho">
    <w:name w:val="header"/>
    <w:aliases w:val="Guideline"/>
    <w:basedOn w:val="Normal"/>
    <w:link w:val="CabealhoChar"/>
    <w:uiPriority w:val="99"/>
    <w:unhideWhenUsed/>
    <w:rsid w:val="00C55B31"/>
    <w:pPr>
      <w:tabs>
        <w:tab w:val="center" w:pos="4320"/>
        <w:tab w:val="right" w:pos="8640"/>
      </w:tabs>
    </w:pPr>
  </w:style>
  <w:style w:type="character" w:customStyle="1" w:styleId="CabealhoChar">
    <w:name w:val="Cabeçalho Char"/>
    <w:aliases w:val="Guideline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styleId="SombreamentoMdio1-nfase1">
    <w:name w:val="Medium Shading 1 Accent 1"/>
    <w:uiPriority w:val="1"/>
    <w:qFormat/>
    <w:rsid w:val="009A1D92"/>
    <w:rPr>
      <w:rFonts w:ascii="Calibri" w:eastAsia="Calibri" w:hAnsi="Calibri"/>
      <w:sz w:val="22"/>
      <w:szCs w:val="22"/>
      <w:lang w:eastAsia="en-US"/>
    </w:rPr>
  </w:style>
  <w:style w:type="table" w:styleId="Tabelacomgrade">
    <w:name w:val="Table Grid"/>
    <w:basedOn w:val="Tabelanormal"/>
    <w:rsid w:val="00110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Clara-nfase1">
    <w:name w:val="Light Grid Accent 1"/>
    <w:basedOn w:val="Tabelanormal"/>
    <w:rsid w:val="00110C2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2Char">
    <w:name w:val="Título 2 Char"/>
    <w:link w:val="Ttulo2"/>
    <w:semiHidden/>
    <w:rsid w:val="003D302F"/>
    <w:rPr>
      <w:rFonts w:ascii="Cambria" w:eastAsia="Times New Roman" w:hAnsi="Cambria" w:cs="Times New Roman"/>
      <w:b/>
      <w:bCs/>
      <w:i/>
      <w:iCs/>
      <w:sz w:val="28"/>
      <w:szCs w:val="28"/>
      <w:lang w:eastAsia="en-US"/>
    </w:rPr>
  </w:style>
  <w:style w:type="character" w:styleId="HiperlinkVisitado">
    <w:name w:val="FollowedHyperlink"/>
    <w:rsid w:val="00281114"/>
    <w:rPr>
      <w:color w:val="800080"/>
      <w:u w:val="single"/>
    </w:rPr>
  </w:style>
  <w:style w:type="character" w:customStyle="1" w:styleId="Ttulo3Char">
    <w:name w:val="Título 3 Char"/>
    <w:link w:val="Ttulo3"/>
    <w:semiHidden/>
    <w:rsid w:val="003605AD"/>
    <w:rPr>
      <w:rFonts w:ascii="Cambria" w:eastAsia="Times New Roman" w:hAnsi="Cambria" w:cs="Times New Roman"/>
      <w:b/>
      <w:bCs/>
      <w:sz w:val="26"/>
      <w:szCs w:val="26"/>
      <w:lang w:eastAsia="en-US"/>
    </w:rPr>
  </w:style>
  <w:style w:type="paragraph" w:styleId="Corpodetexto">
    <w:name w:val="Body Text"/>
    <w:aliases w:val="S&amp;S-First Line-1&quot;,Corpo de texto2,bt"/>
    <w:basedOn w:val="Normal"/>
    <w:link w:val="CorpodetextoChar"/>
    <w:uiPriority w:val="99"/>
    <w:rsid w:val="003605AD"/>
    <w:pPr>
      <w:widowControl w:val="0"/>
      <w:jc w:val="both"/>
    </w:pPr>
    <w:rPr>
      <w:rFonts w:ascii="Arial" w:eastAsia="Times New Roman" w:hAnsi="Arial"/>
      <w:szCs w:val="20"/>
      <w:lang w:eastAsia="pt-BR"/>
    </w:rPr>
  </w:style>
  <w:style w:type="character" w:customStyle="1" w:styleId="CorpodetextoChar">
    <w:name w:val="Corpo de texto Char"/>
    <w:aliases w:val="S&amp;S-First Line-1&quot; Char,Corpo de texto2 Char,bt Char"/>
    <w:link w:val="Corpodetexto"/>
    <w:uiPriority w:val="99"/>
    <w:rsid w:val="003605AD"/>
    <w:rPr>
      <w:rFonts w:ascii="Arial" w:eastAsia="Times New Roman" w:hAnsi="Arial"/>
      <w:sz w:val="24"/>
    </w:rPr>
  </w:style>
  <w:style w:type="paragraph" w:customStyle="1" w:styleId="BDOTtulo1">
    <w:name w:val="BDO Título 1"/>
    <w:basedOn w:val="Normal"/>
    <w:next w:val="Normal"/>
    <w:uiPriority w:val="99"/>
    <w:rsid w:val="003605AD"/>
    <w:pPr>
      <w:tabs>
        <w:tab w:val="num" w:pos="567"/>
      </w:tabs>
      <w:suppressAutoHyphens/>
      <w:ind w:left="567" w:hanging="567"/>
    </w:pPr>
    <w:rPr>
      <w:rFonts w:ascii="Arial Negrito" w:eastAsia="Times New Roman" w:hAnsi="Arial Negrito"/>
      <w:b/>
      <w:caps/>
      <w:sz w:val="22"/>
      <w:lang w:eastAsia="pt-BR"/>
    </w:rPr>
  </w:style>
  <w:style w:type="paragraph" w:styleId="PargrafodaLista">
    <w:name w:val="List Paragraph"/>
    <w:basedOn w:val="Normal"/>
    <w:uiPriority w:val="34"/>
    <w:qFormat/>
    <w:rsid w:val="003605AD"/>
    <w:pPr>
      <w:ind w:left="720"/>
      <w:contextualSpacing/>
    </w:pPr>
    <w:rPr>
      <w:rFonts w:ascii="Arial" w:eastAsia="Times New Roman" w:hAnsi="Arial"/>
      <w:sz w:val="22"/>
      <w:szCs w:val="22"/>
      <w:lang w:eastAsia="pt-BR"/>
    </w:rPr>
  </w:style>
  <w:style w:type="paragraph" w:customStyle="1" w:styleId="Style">
    <w:name w:val="Style"/>
    <w:uiPriority w:val="99"/>
    <w:rsid w:val="003605AD"/>
    <w:pPr>
      <w:widowControl w:val="0"/>
      <w:autoSpaceDE w:val="0"/>
      <w:autoSpaceDN w:val="0"/>
      <w:adjustRightInd w:val="0"/>
    </w:pPr>
    <w:rPr>
      <w:rFonts w:ascii="Times New Roman" w:eastAsia="Times New Roman" w:hAnsi="Times New Roman"/>
      <w:sz w:val="24"/>
      <w:szCs w:val="24"/>
      <w:lang w:val="es-AR" w:eastAsia="es-AR"/>
    </w:rPr>
  </w:style>
  <w:style w:type="paragraph" w:customStyle="1" w:styleId="Default">
    <w:name w:val="Default"/>
    <w:link w:val="DefaultChar"/>
    <w:rsid w:val="003605AD"/>
    <w:pPr>
      <w:autoSpaceDE w:val="0"/>
      <w:autoSpaceDN w:val="0"/>
      <w:adjustRightInd w:val="0"/>
    </w:pPr>
    <w:rPr>
      <w:rFonts w:ascii="Times New Roman" w:eastAsia="Times New Roman" w:hAnsi="Times New Roman"/>
      <w:color w:val="000000"/>
      <w:sz w:val="24"/>
      <w:szCs w:val="24"/>
      <w:lang w:eastAsia="en-US"/>
    </w:rPr>
  </w:style>
  <w:style w:type="character" w:customStyle="1" w:styleId="DefaultChar">
    <w:name w:val="Default Char"/>
    <w:link w:val="Default"/>
    <w:rsid w:val="003605AD"/>
    <w:rPr>
      <w:rFonts w:ascii="Times New Roman" w:eastAsia="Times New Roman" w:hAnsi="Times New Roman"/>
      <w:color w:val="000000"/>
      <w:sz w:val="24"/>
      <w:szCs w:val="24"/>
      <w:lang w:eastAsia="en-US"/>
    </w:rPr>
  </w:style>
  <w:style w:type="character" w:customStyle="1" w:styleId="A6">
    <w:name w:val="A6"/>
    <w:rsid w:val="003605AD"/>
    <w:rPr>
      <w:rFonts w:cs="Helvetica Neue LT Std"/>
      <w:b/>
      <w:bCs/>
      <w:color w:val="000000"/>
      <w:sz w:val="13"/>
      <w:szCs w:val="13"/>
    </w:rPr>
  </w:style>
  <w:style w:type="character" w:customStyle="1" w:styleId="A12">
    <w:name w:val="A12"/>
    <w:rsid w:val="003605AD"/>
    <w:rPr>
      <w:rFonts w:cs="Helvetica Neue LT Std"/>
      <w:b/>
      <w:bCs/>
      <w:color w:val="000000"/>
      <w:sz w:val="7"/>
      <w:szCs w:val="7"/>
    </w:rPr>
  </w:style>
  <w:style w:type="paragraph" w:styleId="Textodenotadefim">
    <w:name w:val="endnote text"/>
    <w:basedOn w:val="Normal"/>
    <w:link w:val="TextodenotadefimChar"/>
    <w:rsid w:val="00EF4702"/>
    <w:rPr>
      <w:sz w:val="20"/>
      <w:szCs w:val="20"/>
    </w:rPr>
  </w:style>
  <w:style w:type="character" w:customStyle="1" w:styleId="TextodenotadefimChar">
    <w:name w:val="Texto de nota de fim Char"/>
    <w:link w:val="Textodenotadefim"/>
    <w:rsid w:val="00EF4702"/>
    <w:rPr>
      <w:lang w:eastAsia="en-US"/>
    </w:rPr>
  </w:style>
  <w:style w:type="character" w:styleId="Refdenotadefim">
    <w:name w:val="endnote reference"/>
    <w:rsid w:val="00EF4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70070090">
      <w:bodyDiv w:val="1"/>
      <w:marLeft w:val="0"/>
      <w:marRight w:val="0"/>
      <w:marTop w:val="0"/>
      <w:marBottom w:val="0"/>
      <w:divBdr>
        <w:top w:val="none" w:sz="0" w:space="0" w:color="auto"/>
        <w:left w:val="none" w:sz="0" w:space="0" w:color="auto"/>
        <w:bottom w:val="none" w:sz="0" w:space="0" w:color="auto"/>
        <w:right w:val="none" w:sz="0" w:space="0" w:color="auto"/>
      </w:divBdr>
    </w:div>
    <w:div w:id="97232261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package" Target="embeddings/Microsoft_Excel_Worksheet3.xlsx"/><Relationship Id="rId21" Type="http://schemas.openxmlformats.org/officeDocument/2006/relationships/image" Target="media/image2.emf"/><Relationship Id="rId34" Type="http://schemas.openxmlformats.org/officeDocument/2006/relationships/package" Target="embeddings/Microsoft_Excel_Worksheet7.xlsx"/><Relationship Id="rId42" Type="http://schemas.openxmlformats.org/officeDocument/2006/relationships/package" Target="embeddings/Microsoft_Excel_Worksheet11.xlsx"/><Relationship Id="rId47" Type="http://schemas.openxmlformats.org/officeDocument/2006/relationships/image" Target="media/image15.emf"/><Relationship Id="rId50" Type="http://schemas.openxmlformats.org/officeDocument/2006/relationships/package" Target="embeddings/Microsoft_Excel_Worksheet15.xlsx"/><Relationship Id="rId55" Type="http://schemas.openxmlformats.org/officeDocument/2006/relationships/image" Target="media/image19.emf"/><Relationship Id="rId63"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6.emf"/><Relationship Id="rId11" Type="http://schemas.openxmlformats.org/officeDocument/2006/relationships/footer" Target="footer2.xml"/><Relationship Id="rId24" Type="http://schemas.openxmlformats.org/officeDocument/2006/relationships/package" Target="embeddings/Microsoft_Excel_Worksheet2.xlsx"/><Relationship Id="rId32" Type="http://schemas.openxmlformats.org/officeDocument/2006/relationships/package" Target="embeddings/Microsoft_Excel_Worksheet6.xlsx"/><Relationship Id="rId37" Type="http://schemas.openxmlformats.org/officeDocument/2006/relationships/image" Target="media/image10.emf"/><Relationship Id="rId40" Type="http://schemas.openxmlformats.org/officeDocument/2006/relationships/package" Target="embeddings/Microsoft_Excel_Worksheet10.xlsx"/><Relationship Id="rId45" Type="http://schemas.openxmlformats.org/officeDocument/2006/relationships/image" Target="media/image14.emf"/><Relationship Id="rId53" Type="http://schemas.openxmlformats.org/officeDocument/2006/relationships/image" Target="media/image18.emf"/><Relationship Id="rId58" Type="http://schemas.openxmlformats.org/officeDocument/2006/relationships/package" Target="embeddings/Microsoft_Excel_Worksheet19.xlsx"/><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6.xm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package" Target="embeddings/Microsoft_Excel_Worksheet1.xlsx"/><Relationship Id="rId27" Type="http://schemas.openxmlformats.org/officeDocument/2006/relationships/image" Target="media/image5.emf"/><Relationship Id="rId30" Type="http://schemas.openxmlformats.org/officeDocument/2006/relationships/package" Target="embeddings/Microsoft_Excel_Worksheet5.xlsx"/><Relationship Id="rId35" Type="http://schemas.openxmlformats.org/officeDocument/2006/relationships/image" Target="media/image9.emf"/><Relationship Id="rId43" Type="http://schemas.openxmlformats.org/officeDocument/2006/relationships/image" Target="media/image13.emf"/><Relationship Id="rId48" Type="http://schemas.openxmlformats.org/officeDocument/2006/relationships/package" Target="embeddings/Microsoft_Excel_Worksheet14.xlsx"/><Relationship Id="rId56" Type="http://schemas.openxmlformats.org/officeDocument/2006/relationships/package" Target="embeddings/Microsoft_Excel_Worksheet18.xlsx"/><Relationship Id="rId64"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image" Target="media/image17.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image" Target="media/image4.emf"/><Relationship Id="rId33" Type="http://schemas.openxmlformats.org/officeDocument/2006/relationships/image" Target="media/image8.emf"/><Relationship Id="rId38" Type="http://schemas.openxmlformats.org/officeDocument/2006/relationships/package" Target="embeddings/Microsoft_Excel_Worksheet9.xlsx"/><Relationship Id="rId46" Type="http://schemas.openxmlformats.org/officeDocument/2006/relationships/package" Target="embeddings/Microsoft_Excel_Worksheet13.xlsx"/><Relationship Id="rId59" Type="http://schemas.openxmlformats.org/officeDocument/2006/relationships/image" Target="media/image21.emf"/><Relationship Id="rId20" Type="http://schemas.openxmlformats.org/officeDocument/2006/relationships/footer" Target="footer5.xml"/><Relationship Id="rId41" Type="http://schemas.openxmlformats.org/officeDocument/2006/relationships/image" Target="media/image12.emf"/><Relationship Id="rId54" Type="http://schemas.openxmlformats.org/officeDocument/2006/relationships/package" Target="embeddings/Microsoft_Excel_Worksheet17.xlsx"/><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package" Target="embeddings/Microsoft_Excel_Worksheet4.xlsx"/><Relationship Id="rId36" Type="http://schemas.openxmlformats.org/officeDocument/2006/relationships/package" Target="embeddings/Microsoft_Excel_Worksheet8.xlsx"/><Relationship Id="rId49" Type="http://schemas.openxmlformats.org/officeDocument/2006/relationships/image" Target="media/image16.emf"/><Relationship Id="rId57" Type="http://schemas.openxmlformats.org/officeDocument/2006/relationships/image" Target="media/image20.emf"/><Relationship Id="rId10" Type="http://schemas.openxmlformats.org/officeDocument/2006/relationships/footer" Target="footer1.xml"/><Relationship Id="rId31" Type="http://schemas.openxmlformats.org/officeDocument/2006/relationships/image" Target="media/image7.emf"/><Relationship Id="rId44" Type="http://schemas.openxmlformats.org/officeDocument/2006/relationships/package" Target="embeddings/Microsoft_Excel_Worksheet12.xlsx"/><Relationship Id="rId52" Type="http://schemas.openxmlformats.org/officeDocument/2006/relationships/package" Target="embeddings/Microsoft_Excel_Worksheet16.xlsx"/><Relationship Id="rId60" Type="http://schemas.openxmlformats.org/officeDocument/2006/relationships/package" Target="embeddings/Microsoft_Excel_Worksheet20.xlsx"/><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oleObject" Target="embeddings/oleObject1.bin"/><Relationship Id="rId39" Type="http://schemas.openxmlformats.org/officeDocument/2006/relationships/image" Target="media/image11.emf"/></Relationships>
</file>

<file path=word/_rels/header6.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F4E76-3F1E-44A5-AFFF-603E939A7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3341</Words>
  <Characters>18042</Characters>
  <Application>Microsoft Office Word</Application>
  <DocSecurity>0</DocSecurity>
  <Lines>150</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Alexandre Demeneghi de Almeida</cp:lastModifiedBy>
  <cp:revision>2</cp:revision>
  <cp:lastPrinted>2015-03-30T22:05:00Z</cp:lastPrinted>
  <dcterms:created xsi:type="dcterms:W3CDTF">2020-08-12T18:58:00Z</dcterms:created>
  <dcterms:modified xsi:type="dcterms:W3CDTF">2020-08-12T18:58:00Z</dcterms:modified>
</cp:coreProperties>
</file>