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color w:val="010101"/>
          <w:sz w:val="20"/>
          <w:szCs w:val="20"/>
        </w:rPr>
      </w:pPr>
      <w:bookmarkStart w:id="0" w:name="_GoBack"/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color w:val="010101"/>
          <w:sz w:val="20"/>
          <w:szCs w:val="20"/>
        </w:rPr>
      </w:pPr>
      <w:r w:rsidRPr="00407ABC">
        <w:rPr>
          <w:rFonts w:eastAsia="Courier New" w:cs="Courier New"/>
          <w:color w:val="010101"/>
          <w:sz w:val="20"/>
          <w:szCs w:val="20"/>
        </w:rPr>
        <w:t>Ref.: PA Nº 115/2015 – PE 04/2016</w:t>
      </w:r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</w:rPr>
      </w:pPr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86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4536"/>
        <w:jc w:val="both"/>
        <w:rPr>
          <w:rFonts w:eastAsia="Courier New" w:cs="Courier New"/>
          <w:color w:val="010101"/>
          <w:sz w:val="20"/>
          <w:szCs w:val="20"/>
        </w:rPr>
      </w:pPr>
      <w:r w:rsidRPr="00407ABC">
        <w:rPr>
          <w:rFonts w:eastAsia="Courier New" w:cs="Courier New"/>
          <w:color w:val="010101"/>
          <w:sz w:val="20"/>
          <w:szCs w:val="20"/>
        </w:rPr>
        <w:t>Manifestação do Pregoeiro em face da Impugnação ao Edital do Pregão Eletrônico nº 004/2016 apresentada pela empresa</w:t>
      </w:r>
      <w:r w:rsidRPr="00407ABC">
        <w:rPr>
          <w:rFonts w:eastAsia="Times New Roman" w:cs="Courier New"/>
          <w:sz w:val="20"/>
          <w:szCs w:val="20"/>
        </w:rPr>
        <w:t xml:space="preserve"> ACC – AUDITORIA, CONSULTORIA E CONTABILIDADE EIRELI</w:t>
      </w:r>
      <w:r w:rsidRPr="00407ABC">
        <w:rPr>
          <w:rFonts w:eastAsia="Courier New" w:cs="Courier New"/>
          <w:color w:val="010101"/>
          <w:sz w:val="20"/>
          <w:szCs w:val="20"/>
        </w:rPr>
        <w:t>.</w:t>
      </w:r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</w:rPr>
      </w:pPr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</w:rPr>
      </w:pPr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407ABC">
        <w:rPr>
          <w:rFonts w:eastAsia="Courier New" w:cs="Courier New"/>
          <w:b/>
          <w:bCs/>
          <w:color w:val="010101"/>
          <w:sz w:val="20"/>
          <w:szCs w:val="20"/>
          <w:u w:val="single"/>
        </w:rPr>
        <w:t>I - ADMISSIBILIDADE</w:t>
      </w:r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</w:rPr>
      </w:pPr>
    </w:p>
    <w:p w:rsidR="00407ABC" w:rsidRPr="00407ABC" w:rsidRDefault="00472D3B" w:rsidP="00472D3B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="Courier New"/>
          <w:color w:val="010101"/>
          <w:sz w:val="20"/>
          <w:szCs w:val="20"/>
        </w:rPr>
      </w:pPr>
      <w:r>
        <w:rPr>
          <w:rFonts w:eastAsia="Courier New" w:cs="Courier New"/>
          <w:color w:val="010101"/>
          <w:sz w:val="20"/>
          <w:szCs w:val="20"/>
        </w:rPr>
        <w:tab/>
      </w:r>
      <w:r w:rsidR="00407ABC" w:rsidRPr="00407ABC">
        <w:rPr>
          <w:rFonts w:eastAsia="Courier New" w:cs="Courier New"/>
          <w:color w:val="010101"/>
          <w:sz w:val="20"/>
          <w:szCs w:val="20"/>
        </w:rPr>
        <w:t xml:space="preserve">A empresa </w:t>
      </w:r>
      <w:r w:rsidR="00407ABC" w:rsidRPr="00407ABC">
        <w:rPr>
          <w:rFonts w:eastAsia="Times New Roman" w:cs="Courier New"/>
          <w:sz w:val="20"/>
          <w:szCs w:val="20"/>
        </w:rPr>
        <w:t>ACC – AUDITORIA, CONSULTORIA E CONTABILIDADE EIRELI</w:t>
      </w:r>
      <w:r w:rsidR="00407ABC" w:rsidRPr="00407ABC">
        <w:rPr>
          <w:rFonts w:eastAsia="Courier New" w:cs="Courier New"/>
          <w:bCs/>
          <w:sz w:val="20"/>
          <w:szCs w:val="20"/>
        </w:rPr>
        <w:t>,</w:t>
      </w:r>
      <w:r w:rsidR="00407ABC" w:rsidRPr="00407ABC">
        <w:rPr>
          <w:rFonts w:eastAsia="Courier New" w:cs="Courier New"/>
          <w:color w:val="010101"/>
          <w:sz w:val="20"/>
          <w:szCs w:val="20"/>
        </w:rPr>
        <w:t xml:space="preserve"> inconformada com os termos do Edital do Pregão Eletrônico nº 004/2016, apresentou impugnação, via e-mail, endereço comras@caurs.gov.br, na data de 30 de março de 2016.</w:t>
      </w:r>
    </w:p>
    <w:p w:rsidR="00407ABC" w:rsidRPr="00407ABC" w:rsidRDefault="00472D3B" w:rsidP="00472D3B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="Courier New"/>
          <w:color w:val="010101"/>
          <w:sz w:val="20"/>
          <w:szCs w:val="20"/>
        </w:rPr>
      </w:pPr>
      <w:r>
        <w:rPr>
          <w:rFonts w:eastAsia="Courier New" w:cs="Courier New"/>
          <w:color w:val="010101"/>
          <w:sz w:val="20"/>
          <w:szCs w:val="20"/>
        </w:rPr>
        <w:tab/>
      </w:r>
      <w:r w:rsidR="00407ABC" w:rsidRPr="00407ABC">
        <w:rPr>
          <w:rFonts w:eastAsia="Courier New" w:cs="Courier New"/>
          <w:color w:val="010101"/>
          <w:sz w:val="20"/>
          <w:szCs w:val="20"/>
        </w:rPr>
        <w:t xml:space="preserve">A impugnação é tempestiva e foi processada segundo as normas legais e </w:t>
      </w:r>
      <w:proofErr w:type="spellStart"/>
      <w:r w:rsidR="00407ABC" w:rsidRPr="00407ABC">
        <w:rPr>
          <w:rFonts w:eastAsia="Courier New" w:cs="Courier New"/>
          <w:color w:val="010101"/>
          <w:sz w:val="20"/>
          <w:szCs w:val="20"/>
        </w:rPr>
        <w:t>editalícias</w:t>
      </w:r>
      <w:proofErr w:type="spellEnd"/>
      <w:r w:rsidR="00407ABC" w:rsidRPr="00407ABC">
        <w:rPr>
          <w:rFonts w:eastAsia="Courier New" w:cs="Courier New"/>
          <w:color w:val="010101"/>
          <w:sz w:val="20"/>
          <w:szCs w:val="20"/>
        </w:rPr>
        <w:t>.</w:t>
      </w:r>
    </w:p>
    <w:p w:rsidR="00407ABC" w:rsidRPr="00407ABC" w:rsidRDefault="00407ABC" w:rsidP="00407ABC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ind w:firstLine="1426"/>
        <w:jc w:val="both"/>
        <w:rPr>
          <w:rFonts w:eastAsia="Courier New" w:cs="Courier New"/>
          <w:color w:val="010101"/>
          <w:sz w:val="20"/>
          <w:szCs w:val="20"/>
        </w:rPr>
      </w:pPr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407ABC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II </w:t>
      </w:r>
      <w:r w:rsidR="006B68EB">
        <w:rPr>
          <w:rFonts w:eastAsia="Courier New" w:cs="Courier New"/>
          <w:b/>
          <w:bCs/>
          <w:color w:val="010101"/>
          <w:sz w:val="20"/>
          <w:szCs w:val="20"/>
          <w:u w:val="single"/>
        </w:rPr>
        <w:t>–</w:t>
      </w:r>
      <w:r w:rsidRPr="00407ABC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 D</w:t>
      </w:r>
      <w:r w:rsidR="00126CB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O PEDIDO DE IMPUGNAÇÃO</w:t>
      </w:r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="Courier New"/>
          <w:bCs/>
          <w:iCs/>
          <w:sz w:val="20"/>
          <w:szCs w:val="20"/>
        </w:rPr>
      </w:pPr>
    </w:p>
    <w:p w:rsidR="00407ABC" w:rsidRPr="00407ABC" w:rsidRDefault="00472D3B" w:rsidP="00472D3B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eastAsia="Courier New" w:hAnsiTheme="minorHAnsi" w:cs="Courier New"/>
        </w:rPr>
      </w:pPr>
      <w:r>
        <w:rPr>
          <w:rFonts w:asciiTheme="minorHAnsi" w:eastAsia="Courier New" w:hAnsiTheme="minorHAnsi" w:cs="Courier New"/>
        </w:rPr>
        <w:tab/>
      </w:r>
      <w:r w:rsidR="00407ABC" w:rsidRPr="00407ABC">
        <w:rPr>
          <w:rFonts w:asciiTheme="minorHAnsi" w:eastAsia="Courier New" w:hAnsiTheme="minorHAnsi" w:cs="Courier New"/>
        </w:rPr>
        <w:t xml:space="preserve">A empresa </w:t>
      </w:r>
      <w:r w:rsidR="00407ABC" w:rsidRPr="00407ABC">
        <w:rPr>
          <w:rFonts w:asciiTheme="minorHAnsi" w:hAnsiTheme="minorHAnsi" w:cs="Courier New"/>
        </w:rPr>
        <w:t>ACC – AUDITORIA, CONSULTORIA E CONTABILIDADE EIRELI, inconformada com a exigência contida no subitem 8.7.3 do Edital,</w:t>
      </w:r>
      <w:r w:rsidR="00407ABC" w:rsidRPr="00407ABC">
        <w:rPr>
          <w:rFonts w:asciiTheme="minorHAnsi" w:eastAsia="Courier New" w:hAnsiTheme="minorHAnsi" w:cs="Courier New"/>
        </w:rPr>
        <w:t xml:space="preserve"> alega, em síntese, que:</w:t>
      </w:r>
    </w:p>
    <w:p w:rsidR="00407ABC" w:rsidRPr="00126CB2" w:rsidRDefault="00407ABC" w:rsidP="00407ABC">
      <w:pPr>
        <w:tabs>
          <w:tab w:val="left" w:pos="1436"/>
        </w:tabs>
        <w:spacing w:after="0" w:line="360" w:lineRule="auto"/>
        <w:jc w:val="both"/>
        <w:rPr>
          <w:rFonts w:eastAsia="Courier New" w:cs="Courier New"/>
          <w:sz w:val="20"/>
          <w:szCs w:val="20"/>
        </w:rPr>
      </w:pPr>
    </w:p>
    <w:p w:rsidR="00407ABC" w:rsidRPr="00126CB2" w:rsidRDefault="00126CB2" w:rsidP="00472D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Calibri"/>
          <w:bCs/>
          <w:sz w:val="20"/>
          <w:szCs w:val="20"/>
          <w:lang w:eastAsia="pt-BR"/>
        </w:rPr>
      </w:pPr>
      <w:r w:rsidRPr="00126CB2">
        <w:rPr>
          <w:rFonts w:eastAsia="Times New Roman" w:cs="Calibri"/>
          <w:sz w:val="20"/>
          <w:szCs w:val="20"/>
          <w:lang w:eastAsia="pt-BR"/>
        </w:rPr>
        <w:t>“</w:t>
      </w:r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Com efeito, os </w:t>
      </w:r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 xml:space="preserve">PROBLEMAS </w:t>
      </w:r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havidos no presente edital concentram-se nas exigências pertinentes aos </w:t>
      </w:r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 xml:space="preserve">ATESTADOS DE CAPACIDADE TÉCNICA - </w:t>
      </w:r>
      <w:proofErr w:type="spellStart"/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>ACT's</w:t>
      </w:r>
      <w:proofErr w:type="spellEnd"/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 xml:space="preserve">, </w:t>
      </w:r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item 8.7.3 do </w:t>
      </w:r>
      <w:proofErr w:type="gramStart"/>
      <w:r w:rsidR="00407ABC" w:rsidRPr="00126CB2">
        <w:rPr>
          <w:rFonts w:eastAsia="Times New Roman" w:cs="Calibri"/>
          <w:sz w:val="20"/>
          <w:szCs w:val="20"/>
          <w:lang w:eastAsia="pt-BR"/>
        </w:rPr>
        <w:t>edital ,</w:t>
      </w:r>
      <w:proofErr w:type="gramEnd"/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 quando na inclusão do termo </w:t>
      </w:r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>"PERÍODO NÃO INFERIOR A TRÊS ANOS".</w:t>
      </w:r>
      <w:r w:rsidRPr="00126CB2">
        <w:rPr>
          <w:rFonts w:eastAsia="Times New Roman" w:cs="Calibri"/>
          <w:bCs/>
          <w:sz w:val="20"/>
          <w:szCs w:val="20"/>
          <w:lang w:eastAsia="pt-BR"/>
        </w:rPr>
        <w:t>”</w:t>
      </w:r>
    </w:p>
    <w:p w:rsidR="00407ABC" w:rsidRPr="00126CB2" w:rsidRDefault="00407ABC" w:rsidP="00407AB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407ABC" w:rsidRPr="00126CB2" w:rsidRDefault="00126CB2" w:rsidP="00472D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Calibri"/>
          <w:sz w:val="20"/>
          <w:szCs w:val="20"/>
          <w:lang w:eastAsia="pt-BR"/>
        </w:rPr>
      </w:pPr>
      <w:r w:rsidRPr="00126CB2">
        <w:rPr>
          <w:rFonts w:eastAsia="Times New Roman" w:cs="Calibri"/>
          <w:sz w:val="20"/>
          <w:szCs w:val="20"/>
          <w:lang w:eastAsia="pt-BR"/>
        </w:rPr>
        <w:t>“</w:t>
      </w:r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Esclareça-se por oportuno, que a presente impugnação não versa sobre a legalidade de a Administração Pública exigir em seus editais atestados de capacidade técnica operacional e profissional, nem, tampouco, pretende questionar a legalidade de o edital estabelecer quantitativos mínimos para os mesmos, porém, a solicitação de apresentação de atestados de capacidade técnica, com serviços prestados por períodos não inferiores </w:t>
      </w:r>
      <w:proofErr w:type="gramStart"/>
      <w:r w:rsidR="00407ABC" w:rsidRPr="00126CB2">
        <w:rPr>
          <w:rFonts w:eastAsia="Times New Roman" w:cs="Calibri"/>
          <w:sz w:val="20"/>
          <w:szCs w:val="20"/>
          <w:lang w:eastAsia="pt-BR"/>
        </w:rPr>
        <w:t>à</w:t>
      </w:r>
      <w:proofErr w:type="gramEnd"/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 três anos é excessiva, restringindo a participação de empresas de outros estados.</w:t>
      </w:r>
      <w:r w:rsidRPr="00126CB2">
        <w:rPr>
          <w:rFonts w:eastAsia="Times New Roman" w:cs="Calibri"/>
          <w:sz w:val="20"/>
          <w:szCs w:val="20"/>
          <w:lang w:eastAsia="pt-BR"/>
        </w:rPr>
        <w:t>”</w:t>
      </w:r>
    </w:p>
    <w:p w:rsidR="00407ABC" w:rsidRPr="00126CB2" w:rsidRDefault="00407ABC" w:rsidP="00407AB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sz w:val="20"/>
          <w:szCs w:val="20"/>
          <w:lang w:eastAsia="pt-BR"/>
        </w:rPr>
      </w:pPr>
    </w:p>
    <w:p w:rsidR="00407ABC" w:rsidRPr="00126CB2" w:rsidRDefault="00126CB2" w:rsidP="00472D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ourier New" w:cs="Courier New"/>
          <w:sz w:val="20"/>
          <w:szCs w:val="20"/>
        </w:rPr>
      </w:pPr>
      <w:r w:rsidRPr="00126CB2">
        <w:rPr>
          <w:rFonts w:eastAsia="Times New Roman" w:cs="Calibri"/>
          <w:sz w:val="20"/>
          <w:szCs w:val="20"/>
          <w:lang w:eastAsia="pt-BR"/>
        </w:rPr>
        <w:t>“</w:t>
      </w:r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Desta forma, seria forçoso considerar lícita a exigência dos </w:t>
      </w:r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 xml:space="preserve">ACT'S COM PERÍODOS NÃO INFERIORES </w:t>
      </w:r>
      <w:proofErr w:type="gramStart"/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>A</w:t>
      </w:r>
      <w:proofErr w:type="gramEnd"/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 xml:space="preserve"> TRÊS ANOS, </w:t>
      </w:r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sendo para tanto </w:t>
      </w:r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 xml:space="preserve">REQUERIDO </w:t>
      </w:r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o acolhimento da presente impugnação, </w:t>
      </w:r>
      <w:r w:rsidR="00407ABC" w:rsidRPr="00126CB2">
        <w:rPr>
          <w:rFonts w:eastAsia="Times New Roman" w:cs="Calibri"/>
          <w:bCs/>
          <w:sz w:val="20"/>
          <w:szCs w:val="20"/>
          <w:lang w:eastAsia="pt-BR"/>
        </w:rPr>
        <w:t xml:space="preserve">REFORMANDO-SE O EDITAL EM APREÇO, </w:t>
      </w:r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mais especificamente o item 8.7.3, para efeito de não exigir nos </w:t>
      </w:r>
      <w:proofErr w:type="spellStart"/>
      <w:r w:rsidR="00407ABC" w:rsidRPr="00126CB2">
        <w:rPr>
          <w:rFonts w:eastAsia="Times New Roman" w:cs="Calibri"/>
          <w:sz w:val="20"/>
          <w:szCs w:val="20"/>
          <w:lang w:eastAsia="pt-BR"/>
        </w:rPr>
        <w:t>ACT's</w:t>
      </w:r>
      <w:proofErr w:type="spellEnd"/>
      <w:r w:rsidR="00407ABC" w:rsidRPr="00126CB2">
        <w:rPr>
          <w:rFonts w:eastAsia="Times New Roman" w:cs="Calibri"/>
          <w:sz w:val="20"/>
          <w:szCs w:val="20"/>
          <w:lang w:eastAsia="pt-BR"/>
        </w:rPr>
        <w:t xml:space="preserve"> indicativos de prestação de serviços com períodos não inferiores a três anos e sim relacionados especificamente aos serviços desejados.</w:t>
      </w:r>
      <w:r w:rsidRPr="00126CB2">
        <w:rPr>
          <w:rFonts w:eastAsia="Times New Roman" w:cs="Calibri"/>
          <w:sz w:val="20"/>
          <w:szCs w:val="20"/>
          <w:lang w:eastAsia="pt-BR"/>
        </w:rPr>
        <w:t>”</w:t>
      </w:r>
    </w:p>
    <w:p w:rsidR="00407ABC" w:rsidRPr="00407ABC" w:rsidRDefault="00407ABC" w:rsidP="00407ABC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</w:p>
    <w:p w:rsidR="00151BA8" w:rsidRPr="00407ABC" w:rsidRDefault="00151BA8" w:rsidP="00151BA8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center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407ABC">
        <w:rPr>
          <w:rFonts w:eastAsia="Courier New" w:cs="Courier New"/>
          <w:b/>
          <w:bCs/>
          <w:color w:val="010101"/>
          <w:sz w:val="20"/>
          <w:szCs w:val="20"/>
          <w:u w:val="single"/>
        </w:rPr>
        <w:lastRenderedPageBreak/>
        <w:t>III -</w:t>
      </w:r>
      <w:r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 </w:t>
      </w:r>
      <w:r w:rsidRPr="00407ABC">
        <w:rPr>
          <w:rFonts w:eastAsia="Courier New" w:cs="Courier New"/>
          <w:b/>
          <w:bCs/>
          <w:color w:val="010101"/>
          <w:sz w:val="20"/>
          <w:szCs w:val="20"/>
          <w:u w:val="single"/>
        </w:rPr>
        <w:t>DA FUNDAMENTAÇÃO E DECISÃO</w:t>
      </w:r>
    </w:p>
    <w:p w:rsidR="00E80D19" w:rsidRDefault="00E80D19" w:rsidP="00407AB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BC534D" w:rsidRDefault="006B68EB" w:rsidP="00472D3B">
      <w:pPr>
        <w:spacing w:after="0" w:line="360" w:lineRule="auto"/>
        <w:ind w:firstLine="708"/>
        <w:jc w:val="both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Inicialmente, cumpre destacar que o Conselho de Arquitetura e Urbanismo do Rio Grande do Sul, por meio da Gerência Administrativa, considerou o objeto da presente licitação,</w:t>
      </w:r>
      <w:r w:rsidR="00BC534D">
        <w:rPr>
          <w:rFonts w:eastAsia="Times New Roman" w:cs="Arial"/>
          <w:sz w:val="20"/>
          <w:szCs w:val="20"/>
          <w:lang w:eastAsia="pt-BR"/>
        </w:rPr>
        <w:t xml:space="preserve"> nos moldes solicitados,</w:t>
      </w:r>
      <w:r>
        <w:rPr>
          <w:rFonts w:eastAsia="Times New Roman" w:cs="Arial"/>
          <w:sz w:val="20"/>
          <w:szCs w:val="20"/>
          <w:lang w:eastAsia="pt-BR"/>
        </w:rPr>
        <w:t xml:space="preserve"> </w:t>
      </w:r>
      <w:r w:rsidR="00BC534D">
        <w:rPr>
          <w:rFonts w:eastAsia="Times New Roman" w:cs="Arial"/>
          <w:sz w:val="20"/>
          <w:szCs w:val="20"/>
          <w:lang w:eastAsia="pt-BR"/>
        </w:rPr>
        <w:t>como</w:t>
      </w:r>
      <w:r>
        <w:rPr>
          <w:rFonts w:eastAsia="Times New Roman" w:cs="Arial"/>
          <w:sz w:val="20"/>
          <w:szCs w:val="20"/>
          <w:lang w:eastAsia="pt-BR"/>
        </w:rPr>
        <w:t xml:space="preserve"> serviço </w:t>
      </w:r>
      <w:r w:rsidR="00BC534D">
        <w:rPr>
          <w:rFonts w:eastAsia="Times New Roman" w:cs="Arial"/>
          <w:sz w:val="20"/>
          <w:szCs w:val="20"/>
          <w:lang w:eastAsia="pt-BR"/>
        </w:rPr>
        <w:t>de natureza continuada sem dedicação exclusiva de mão de obra, derivado da necessidade permanente de a Administração obter serviço de auditoria interna, de cumprimento sucessivo e periódico, a fim de auxiliar a Administração no cumprimento de sua missão institucional.</w:t>
      </w:r>
    </w:p>
    <w:p w:rsidR="00BC534D" w:rsidRDefault="00BC534D" w:rsidP="00407AB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6B68EB" w:rsidRDefault="00BC534D" w:rsidP="00472D3B">
      <w:pPr>
        <w:spacing w:after="0" w:line="360" w:lineRule="auto"/>
        <w:ind w:firstLine="708"/>
        <w:jc w:val="both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Assim, fazendo constar previsão</w:t>
      </w:r>
      <w:r w:rsidR="006B68EB">
        <w:rPr>
          <w:rFonts w:eastAsia="Times New Roman" w:cs="Arial"/>
          <w:sz w:val="20"/>
          <w:szCs w:val="20"/>
          <w:lang w:eastAsia="pt-BR"/>
        </w:rPr>
        <w:t xml:space="preserve"> expressa no Edital do Pregão Eletrônico nº 04/2016,</w:t>
      </w:r>
      <w:r>
        <w:rPr>
          <w:rFonts w:eastAsia="Times New Roman" w:cs="Arial"/>
          <w:sz w:val="20"/>
          <w:szCs w:val="20"/>
          <w:lang w:eastAsia="pt-BR"/>
        </w:rPr>
        <w:t xml:space="preserve"> que </w:t>
      </w:r>
      <w:r w:rsidR="006B68EB">
        <w:rPr>
          <w:rFonts w:eastAsia="Times New Roman" w:cs="Arial"/>
          <w:sz w:val="20"/>
          <w:szCs w:val="20"/>
          <w:lang w:eastAsia="pt-BR"/>
        </w:rPr>
        <w:t>o procedimento licitatório será regido também pela Instrução Normativa SLTI/MP nº 02, de 30 de abril de 2008, e suas alterações posteriores.</w:t>
      </w:r>
    </w:p>
    <w:p w:rsidR="006B68EB" w:rsidRDefault="006B68EB" w:rsidP="00407AB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4B6057" w:rsidRDefault="00BC534D" w:rsidP="00472D3B">
      <w:pPr>
        <w:spacing w:after="0" w:line="360" w:lineRule="auto"/>
        <w:ind w:firstLine="708"/>
        <w:jc w:val="both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Esclarecido isso, e</w:t>
      </w:r>
      <w:r w:rsidR="004B6057" w:rsidRPr="004B6057">
        <w:rPr>
          <w:rFonts w:eastAsia="Times New Roman" w:cs="Arial"/>
          <w:sz w:val="20"/>
          <w:szCs w:val="20"/>
          <w:lang w:eastAsia="pt-BR"/>
        </w:rPr>
        <w:t>m relação à qualificação técnic</w:t>
      </w:r>
      <w:r w:rsidR="00E80D19">
        <w:rPr>
          <w:rFonts w:eastAsia="Times New Roman" w:cs="Arial"/>
          <w:sz w:val="20"/>
          <w:szCs w:val="20"/>
          <w:lang w:eastAsia="pt-BR"/>
        </w:rPr>
        <w:t>a</w:t>
      </w:r>
      <w:r>
        <w:rPr>
          <w:rFonts w:eastAsia="Times New Roman" w:cs="Arial"/>
          <w:sz w:val="20"/>
          <w:szCs w:val="20"/>
          <w:lang w:eastAsia="pt-BR"/>
        </w:rPr>
        <w:t>,</w:t>
      </w:r>
      <w:r w:rsidR="004B6057" w:rsidRPr="004B6057">
        <w:rPr>
          <w:rFonts w:eastAsia="Times New Roman" w:cs="Arial"/>
          <w:sz w:val="20"/>
          <w:szCs w:val="20"/>
          <w:lang w:eastAsia="pt-BR"/>
        </w:rPr>
        <w:t xml:space="preserve"> a solicitação de impugnação questiona a exigência d</w:t>
      </w:r>
      <w:r w:rsidR="00E80D19">
        <w:rPr>
          <w:rFonts w:eastAsia="Times New Roman" w:cs="Arial"/>
          <w:sz w:val="20"/>
          <w:szCs w:val="20"/>
          <w:lang w:eastAsia="pt-BR"/>
        </w:rPr>
        <w:t>a comprovação de aptidão para a prestação dos serviços em características, quantidades e prazos compatíveis com o objeto desta licitação, por período não inferior a três anos, mediante a apresentação de a</w:t>
      </w:r>
      <w:r w:rsidR="004B6057" w:rsidRPr="004B6057">
        <w:rPr>
          <w:rFonts w:eastAsia="Times New Roman" w:cs="Arial"/>
          <w:sz w:val="20"/>
          <w:szCs w:val="20"/>
          <w:lang w:eastAsia="pt-BR"/>
        </w:rPr>
        <w:t xml:space="preserve">testados </w:t>
      </w:r>
      <w:r w:rsidR="00E80D19">
        <w:rPr>
          <w:rFonts w:eastAsia="Times New Roman" w:cs="Arial"/>
          <w:sz w:val="20"/>
          <w:szCs w:val="20"/>
          <w:lang w:eastAsia="pt-BR"/>
        </w:rPr>
        <w:t>fornecidos por pessoas jurídicas de direito público ou privado</w:t>
      </w:r>
      <w:r w:rsidR="004B6057" w:rsidRPr="004B6057">
        <w:rPr>
          <w:rFonts w:eastAsia="Times New Roman" w:cs="Arial"/>
          <w:sz w:val="20"/>
          <w:szCs w:val="20"/>
          <w:lang w:eastAsia="pt-BR"/>
        </w:rPr>
        <w:t>;</w:t>
      </w:r>
    </w:p>
    <w:p w:rsidR="001C731C" w:rsidRPr="004B6057" w:rsidRDefault="001C731C" w:rsidP="00407AB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484656" w:rsidRPr="00484656" w:rsidRDefault="00BC534D" w:rsidP="00472D3B">
      <w:pPr>
        <w:spacing w:after="0" w:line="360" w:lineRule="auto"/>
        <w:ind w:firstLine="708"/>
        <w:jc w:val="both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E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stas exigências de qualificação técnic</w:t>
      </w:r>
      <w:r w:rsidR="00484975">
        <w:rPr>
          <w:rFonts w:eastAsia="Times New Roman" w:cs="Arial"/>
          <w:sz w:val="20"/>
          <w:szCs w:val="20"/>
          <w:lang w:eastAsia="pt-BR"/>
        </w:rPr>
        <w:t>a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, constantes do Edital em questão, são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normalmente utilizadas pela Administração Pública em licitações para contratações de serviços continuados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e estão de acordo com orientações constantes do Acórdão nº 1214/2013, do Tribunal de Contas da União, 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com o previsto na Instrução Normativa nº 02, do Ministério do Planejamento, Orçamento e Gestão,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conforme trechos citados a seguir:</w:t>
      </w:r>
    </w:p>
    <w:p w:rsidR="00484656" w:rsidRPr="00484656" w:rsidRDefault="00484975" w:rsidP="00407ABC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t-BR"/>
        </w:rPr>
      </w:pPr>
      <w:r w:rsidRPr="00BC534D">
        <w:rPr>
          <w:rFonts w:eastAsia="Times New Roman" w:cs="Arial"/>
          <w:b/>
          <w:sz w:val="20"/>
          <w:szCs w:val="20"/>
          <w:lang w:eastAsia="pt-BR"/>
        </w:rPr>
        <w:t xml:space="preserve">- </w:t>
      </w:r>
      <w:r w:rsidR="00484656" w:rsidRPr="00484656">
        <w:rPr>
          <w:rFonts w:eastAsia="Times New Roman" w:cs="Arial"/>
          <w:b/>
          <w:sz w:val="20"/>
          <w:szCs w:val="20"/>
          <w:lang w:eastAsia="pt-BR"/>
        </w:rPr>
        <w:t>ACÓRDÃO Nº 1214/2013 – TCU – Plenário:</w:t>
      </w:r>
    </w:p>
    <w:p w:rsidR="001C731C" w:rsidRPr="00407ABC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>“ACORDAM os Ministros do Tribunal de Contas da União, reunidos em Sessão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Plenária, diante das razões expostas pelo Relator, em:”</w:t>
      </w:r>
    </w:p>
    <w:p w:rsidR="00484656" w:rsidRPr="00484656" w:rsidRDefault="00484975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 xml:space="preserve"> 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“9.1.13 seja fixada em edital, como qualificação técnico-operacional, a obrigatoriedade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da apresentação de atestado comprovando que a contratada tenha executado serviços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de terceirização compatíveis em quantidade com o objeto licitado por período não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inferior a </w:t>
      </w:r>
      <w:proofErr w:type="gramStart"/>
      <w:r w:rsidR="001C731C" w:rsidRPr="00407ABC">
        <w:rPr>
          <w:rFonts w:eastAsia="Times New Roman" w:cs="Arial"/>
          <w:sz w:val="20"/>
          <w:szCs w:val="20"/>
          <w:lang w:eastAsia="pt-BR"/>
        </w:rPr>
        <w:t>3</w:t>
      </w:r>
      <w:proofErr w:type="gramEnd"/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anos;”</w:t>
      </w:r>
    </w:p>
    <w:p w:rsidR="001C731C" w:rsidRPr="00407ABC" w:rsidRDefault="001C731C" w:rsidP="00407AB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484656" w:rsidRPr="00484656" w:rsidRDefault="00484656" w:rsidP="00407ABC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t-BR"/>
        </w:rPr>
      </w:pPr>
      <w:r w:rsidRPr="00484656">
        <w:rPr>
          <w:rFonts w:eastAsia="Times New Roman" w:cs="Arial"/>
          <w:b/>
          <w:sz w:val="20"/>
          <w:szCs w:val="20"/>
          <w:lang w:eastAsia="pt-BR"/>
        </w:rPr>
        <w:t>INSTRUÇÃO NORMATIVA Nº 02, DE 30 DE ABRIL DE 2008, DA SECRETARIA DE LOGÍSTICA E</w:t>
      </w:r>
      <w:r w:rsidR="001C731C" w:rsidRPr="00BC534D">
        <w:rPr>
          <w:rFonts w:eastAsia="Times New Roman" w:cs="Arial"/>
          <w:b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b/>
          <w:sz w:val="20"/>
          <w:szCs w:val="20"/>
          <w:lang w:eastAsia="pt-BR"/>
        </w:rPr>
        <w:t>TECNOLOGIA DA INFORMAÇÃO DO MINISTÉRIO DO PLANEJAMENTO, ORÇAMENTO E</w:t>
      </w:r>
      <w:r w:rsidR="001C731C" w:rsidRPr="00BC534D">
        <w:rPr>
          <w:rFonts w:eastAsia="Times New Roman" w:cs="Arial"/>
          <w:b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b/>
          <w:sz w:val="20"/>
          <w:szCs w:val="20"/>
          <w:lang w:eastAsia="pt-BR"/>
        </w:rPr>
        <w:t>GESTÃO:</w:t>
      </w:r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>“Art. 19. Os instrumentos convocatórios devem o conter o disposto no art. 40 da Lei nº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8.666, de 21 de junho de 1993, indicando ain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>da, quando couber:”</w:t>
      </w:r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proofErr w:type="gramStart"/>
      <w:r w:rsidRPr="00484656">
        <w:rPr>
          <w:rFonts w:eastAsia="Times New Roman" w:cs="Arial"/>
          <w:sz w:val="20"/>
          <w:szCs w:val="20"/>
          <w:lang w:eastAsia="pt-BR"/>
        </w:rPr>
        <w:t>“XXV - disposição prevendo condições de habilitaçã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>o técnica nos seguintes termos:</w:t>
      </w:r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proofErr w:type="gramEnd"/>
      <w:r w:rsidRPr="00484656">
        <w:rPr>
          <w:rFonts w:eastAsia="Times New Roman" w:cs="Arial"/>
          <w:sz w:val="20"/>
          <w:szCs w:val="20"/>
          <w:lang w:eastAsia="pt-BR"/>
        </w:rPr>
        <w:lastRenderedPageBreak/>
        <w:t>a) os atestados ou declarações de capacidade técnica apresentados pelo licitante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devem comprovar aptidão para desempenho de atividade pertinente e compatível em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características, quantidades e prazos com o objeto de que trata o processo licitatório;</w:t>
      </w:r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 xml:space="preserve">b) </w:t>
      </w:r>
      <w:proofErr w:type="gramStart"/>
      <w:r w:rsidRPr="00484656">
        <w:rPr>
          <w:rFonts w:eastAsia="Times New Roman" w:cs="Arial"/>
          <w:sz w:val="20"/>
          <w:szCs w:val="20"/>
          <w:lang w:eastAsia="pt-BR"/>
        </w:rPr>
        <w:t>os atestados de capacidade técnico-operacional deverão referir-se a serviços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prestados no âmbito de sua atividade econômica principal ou secundária especificadas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no contrato social vigente”</w:t>
      </w:r>
      <w:proofErr w:type="gramEnd"/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proofErr w:type="gramStart"/>
      <w:r w:rsidRPr="00484656">
        <w:rPr>
          <w:rFonts w:eastAsia="Times New Roman" w:cs="Arial"/>
          <w:sz w:val="20"/>
          <w:szCs w:val="20"/>
          <w:lang w:eastAsia="pt-BR"/>
        </w:rPr>
        <w:t>“§ 5º Na contratação de serviços continuados, a Administração Pública poderá exigir do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licitante:</w:t>
      </w:r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b/>
          <w:sz w:val="20"/>
          <w:szCs w:val="20"/>
          <w:lang w:eastAsia="pt-BR"/>
        </w:rPr>
      </w:pPr>
      <w:proofErr w:type="gramEnd"/>
      <w:r w:rsidRPr="00484656">
        <w:rPr>
          <w:rFonts w:eastAsia="Times New Roman" w:cs="Arial"/>
          <w:b/>
          <w:sz w:val="20"/>
          <w:szCs w:val="20"/>
          <w:lang w:eastAsia="pt-BR"/>
        </w:rPr>
        <w:t>I - comprovação de que tenha executado serviços de terceirização compatíveis em</w:t>
      </w:r>
      <w:r w:rsidR="001C731C" w:rsidRPr="00084065">
        <w:rPr>
          <w:rFonts w:eastAsia="Times New Roman" w:cs="Arial"/>
          <w:b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b/>
          <w:sz w:val="20"/>
          <w:szCs w:val="20"/>
          <w:lang w:eastAsia="pt-BR"/>
        </w:rPr>
        <w:t xml:space="preserve">quantidade com o objeto licitado por período não inferior a </w:t>
      </w:r>
      <w:proofErr w:type="gramStart"/>
      <w:r w:rsidRPr="00484656">
        <w:rPr>
          <w:rFonts w:eastAsia="Times New Roman" w:cs="Arial"/>
          <w:b/>
          <w:sz w:val="20"/>
          <w:szCs w:val="20"/>
          <w:lang w:eastAsia="pt-BR"/>
        </w:rPr>
        <w:t>3</w:t>
      </w:r>
      <w:proofErr w:type="gramEnd"/>
      <w:r w:rsidRPr="00484656">
        <w:rPr>
          <w:rFonts w:eastAsia="Times New Roman" w:cs="Arial"/>
          <w:b/>
          <w:sz w:val="20"/>
          <w:szCs w:val="20"/>
          <w:lang w:eastAsia="pt-BR"/>
        </w:rPr>
        <w:t xml:space="preserve"> (três) anos; e”</w:t>
      </w:r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 xml:space="preserve">“§ 6º Para a comprovação da experiência mínima de </w:t>
      </w:r>
      <w:proofErr w:type="gramStart"/>
      <w:r w:rsidRPr="00484656">
        <w:rPr>
          <w:rFonts w:eastAsia="Times New Roman" w:cs="Arial"/>
          <w:sz w:val="20"/>
          <w:szCs w:val="20"/>
          <w:lang w:eastAsia="pt-BR"/>
        </w:rPr>
        <w:t>3</w:t>
      </w:r>
      <w:proofErr w:type="gramEnd"/>
      <w:r w:rsidRPr="00484656">
        <w:rPr>
          <w:rFonts w:eastAsia="Times New Roman" w:cs="Arial"/>
          <w:sz w:val="20"/>
          <w:szCs w:val="20"/>
          <w:lang w:eastAsia="pt-BR"/>
        </w:rPr>
        <w:t xml:space="preserve"> (três) anos prevista no inciso I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do § 5º, será aceito o somatório de atestados.</w:t>
      </w:r>
    </w:p>
    <w:p w:rsidR="00484656" w:rsidRPr="00407ABC" w:rsidRDefault="00484656" w:rsidP="00407AB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484656" w:rsidRPr="00484656" w:rsidRDefault="00484656" w:rsidP="00472D3B">
      <w:pPr>
        <w:spacing w:after="0" w:line="360" w:lineRule="auto"/>
        <w:ind w:firstLine="70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>De acordo com o voto do relator, referente ao relatório que deu origem ao Acórdão 1214/2013 do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 xml:space="preserve">TCU, estas exigências estão sim, amparadas pela legislação, conforme </w:t>
      </w:r>
      <w:proofErr w:type="gramStart"/>
      <w:r w:rsidRPr="00484656">
        <w:rPr>
          <w:rFonts w:eastAsia="Times New Roman" w:cs="Arial"/>
          <w:sz w:val="20"/>
          <w:szCs w:val="20"/>
          <w:lang w:eastAsia="pt-BR"/>
        </w:rPr>
        <w:t>observa-se</w:t>
      </w:r>
      <w:proofErr w:type="gramEnd"/>
      <w:r w:rsidRPr="00484656">
        <w:rPr>
          <w:rFonts w:eastAsia="Times New Roman" w:cs="Arial"/>
          <w:sz w:val="20"/>
          <w:szCs w:val="20"/>
          <w:lang w:eastAsia="pt-BR"/>
        </w:rPr>
        <w:t xml:space="preserve"> nos trechos abaixo de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seu voto, no qual são citadas diversas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decisões do TCU nesse sentido:</w:t>
      </w:r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>“a lei possui caráter geral, pois se destina a regular todas as situações. Em razão disso,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dada a diversidade de possíveis objetos, seria difícil e até temerário a legislação entrar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em um nível de detalhe tal a especificar quantidades e percentuais a serem requeridos.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 xml:space="preserve">O art. 30, inciso II, da Lei 8.666/93 estabelece que a administração </w:t>
      </w:r>
      <w:proofErr w:type="gramStart"/>
      <w:r w:rsidRPr="00484656">
        <w:rPr>
          <w:rFonts w:eastAsia="Times New Roman" w:cs="Arial"/>
          <w:sz w:val="20"/>
          <w:szCs w:val="20"/>
          <w:lang w:eastAsia="pt-BR"/>
        </w:rPr>
        <w:t>deve</w:t>
      </w:r>
      <w:proofErr w:type="gramEnd"/>
      <w:r w:rsidRPr="00484656">
        <w:rPr>
          <w:rFonts w:eastAsia="Times New Roman" w:cs="Arial"/>
          <w:sz w:val="20"/>
          <w:szCs w:val="20"/>
          <w:lang w:eastAsia="pt-BR"/>
        </w:rPr>
        <w:t xml:space="preserve"> exigir que a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licitante comprove a aptidão para desempenho de atividade pertinente e compatível em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características, quantidades e prazos com o objeto. Os parágrafos do citado artigo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estabelecem algumas regras para tentar evitar abusos ou exigências desarrazoadas, no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sentido de garantir a observância do art. 37, inciso XXI, in fine da Constituição Federal,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que só permite as exigências de qualificação técnica indispensáveis à garantia do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cumprimento das obrigações. Algumas das restrições feitas pela Lei 8.666/93 relativas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às exigências que podem ser estabelecidas são as seguintes: vedação da exigência de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comprovação de atividade ou de aptidão com limitações de tempo ou em locais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específicos, proibição de exigências de propriedade e de localização prévia de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equipamentos e pessoal. Estando as exigências dentro dos limites autorizados pela lei,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não há porque a priori, considerá-las indevidas. O que se deve verificar é sua pertinência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para garantir a cumprimento (ou ao menos diminuir o risco de descumprimento) das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obrigações das contratadas, sem restringir indevidamente a competitividade das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licitações. Entendo que os argumentos utilizados pelo grupo demonstram a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lastRenderedPageBreak/>
        <w:t>adequabilidade dessas exigências, que já foram consideradas legais pelo Tribunal em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algumas ocasiões, conforme registrado abaixo. Mencione-se que nos processos abaixo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mencionados, a própria 3ª Secex manifestou-se pela legalidade dessas exigências:</w:t>
      </w:r>
    </w:p>
    <w:p w:rsidR="00484975" w:rsidRDefault="00484975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084065">
        <w:rPr>
          <w:rFonts w:eastAsia="Times New Roman" w:cs="Arial"/>
          <w:b/>
          <w:sz w:val="20"/>
          <w:szCs w:val="20"/>
          <w:lang w:eastAsia="pt-BR"/>
        </w:rPr>
        <w:t xml:space="preserve">- </w:t>
      </w:r>
      <w:r w:rsidR="00484656" w:rsidRPr="00484656">
        <w:rPr>
          <w:rFonts w:eastAsia="Times New Roman" w:cs="Arial"/>
          <w:b/>
          <w:sz w:val="20"/>
          <w:szCs w:val="20"/>
          <w:lang w:eastAsia="pt-BR"/>
        </w:rPr>
        <w:t>TC 019.549/2010-5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 xml:space="preserve"> – uma das exigências de qualificação técnica contida no edital foi a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de o licitante comprovar experiência mínima de três anos na área dos serviços a serem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contratados.</w:t>
      </w:r>
    </w:p>
    <w:p w:rsidR="00484656" w:rsidRPr="00484656" w:rsidRDefault="00484975" w:rsidP="00484975">
      <w:pPr>
        <w:spacing w:after="0" w:line="360" w:lineRule="auto"/>
        <w:ind w:left="2268"/>
        <w:jc w:val="both"/>
        <w:rPr>
          <w:rFonts w:eastAsia="Times New Roman" w:cs="Arial"/>
          <w:b/>
          <w:sz w:val="20"/>
          <w:szCs w:val="20"/>
          <w:lang w:eastAsia="pt-BR"/>
        </w:rPr>
      </w:pPr>
      <w:r w:rsidRPr="00084065">
        <w:rPr>
          <w:rFonts w:eastAsia="Times New Roman" w:cs="Arial"/>
          <w:b/>
          <w:sz w:val="20"/>
          <w:szCs w:val="20"/>
          <w:lang w:eastAsia="pt-BR"/>
        </w:rPr>
        <w:t>.</w:t>
      </w:r>
      <w:r w:rsidR="00484656" w:rsidRPr="00484656">
        <w:rPr>
          <w:rFonts w:eastAsia="Times New Roman" w:cs="Arial"/>
          <w:b/>
          <w:sz w:val="20"/>
          <w:szCs w:val="20"/>
          <w:lang w:eastAsia="pt-BR"/>
        </w:rPr>
        <w:t xml:space="preserve"> </w:t>
      </w:r>
      <w:proofErr w:type="gramStart"/>
      <w:r w:rsidR="00484656" w:rsidRPr="00484656">
        <w:rPr>
          <w:rFonts w:eastAsia="Times New Roman" w:cs="Arial"/>
          <w:b/>
          <w:sz w:val="20"/>
          <w:szCs w:val="20"/>
          <w:lang w:eastAsia="pt-BR"/>
        </w:rPr>
        <w:t>ementa</w:t>
      </w:r>
      <w:proofErr w:type="gramEnd"/>
      <w:r w:rsidR="00484656" w:rsidRPr="00484656">
        <w:rPr>
          <w:rFonts w:eastAsia="Times New Roman" w:cs="Arial"/>
          <w:b/>
          <w:sz w:val="20"/>
          <w:szCs w:val="20"/>
          <w:lang w:eastAsia="pt-BR"/>
        </w:rPr>
        <w:t xml:space="preserve"> do Acórdão 2.939/2010-Plenário:</w:t>
      </w:r>
    </w:p>
    <w:p w:rsidR="001C731C" w:rsidRPr="00407ABC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>“É compatível com o inciso II do art. 30 da Lei 8.666/1993 a exigência de requisito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temporal de atuação do licitante na área do serviço de natureza contínua licitado, desde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que por período inferior ao prazo de 60 (sessenta) meses previsto no inciso II do art. 57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daquela Lei”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>.</w:t>
      </w:r>
    </w:p>
    <w:p w:rsidR="00484656" w:rsidRPr="00484656" w:rsidRDefault="001C731C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07ABC">
        <w:rPr>
          <w:rFonts w:eastAsia="Times New Roman" w:cs="Arial"/>
          <w:sz w:val="20"/>
          <w:szCs w:val="20"/>
          <w:lang w:eastAsia="pt-BR"/>
        </w:rPr>
        <w:t>T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>recho do relatório:</w:t>
      </w:r>
    </w:p>
    <w:p w:rsidR="001C731C" w:rsidRPr="00407ABC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>“4.5 Ademais do acima exposto concluímos, alinhados aos argumentos da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Administração, que as exigências postas no edital coadunam-se com os termos do art.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30, II, da Lei nº 8.666/93, que autoriza a exigência de comprovação de aptidão para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desempenho de atividade pertinente e compatível em características, quantidades 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prazos com o objeto da licitação, vez que a experiência exigida para habilitação ao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certame, inclusive no que se refere a prazo, mostram-se razoáveis e compatíveis com os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serviços que serão executados e na área em que serão executados, conforme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demonstrado no ar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>razoado técnico de fls. 69/82.”.</w:t>
      </w:r>
    </w:p>
    <w:p w:rsidR="00484656" w:rsidRPr="00484656" w:rsidRDefault="001C731C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07ABC">
        <w:rPr>
          <w:rFonts w:eastAsia="Times New Roman" w:cs="Arial"/>
          <w:sz w:val="20"/>
          <w:szCs w:val="20"/>
          <w:lang w:eastAsia="pt-BR"/>
        </w:rPr>
        <w:t>T</w:t>
      </w:r>
      <w:r w:rsidR="00484656" w:rsidRPr="00484656">
        <w:rPr>
          <w:rFonts w:eastAsia="Times New Roman" w:cs="Arial"/>
          <w:sz w:val="20"/>
          <w:szCs w:val="20"/>
          <w:lang w:eastAsia="pt-BR"/>
        </w:rPr>
        <w:t xml:space="preserve">recho do voto: </w:t>
      </w:r>
    </w:p>
    <w:p w:rsidR="001C731C" w:rsidRPr="00407ABC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proofErr w:type="gramStart"/>
      <w:r w:rsidRPr="00484656">
        <w:rPr>
          <w:rFonts w:eastAsia="Times New Roman" w:cs="Arial"/>
          <w:sz w:val="20"/>
          <w:szCs w:val="20"/>
          <w:lang w:eastAsia="pt-BR"/>
        </w:rPr>
        <w:t>“7. Em segundo lugar</w:t>
      </w:r>
      <w:proofErr w:type="gramEnd"/>
      <w:r w:rsidRPr="00484656">
        <w:rPr>
          <w:rFonts w:eastAsia="Times New Roman" w:cs="Arial"/>
          <w:sz w:val="20"/>
          <w:szCs w:val="20"/>
          <w:lang w:eastAsia="pt-BR"/>
        </w:rPr>
        <w:t>, por se tratar de serviço de natureza contínua, que podem se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estender por longo período, a exigência temporal de experiência mínima no mercado do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objeto também é, em princípio, compatível com o dispositivo legal há pouco mencionado,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já que o tempo de atuação é critério relevante para avaliar a solidez do futuro fornecedor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e, com isso, assegurar boa execução do objeto.</w:t>
      </w:r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>8. Acrescente-se que, na situação em foco, o estipulado prazo de três anos de atuação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no mercado, conforme reconheceu a Secex/3, é compatível, dada a natureza contínua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dos serviços em questão, com o prazo máximo de 60 meses autorizado pelo inciso II do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art. 57 da Lei 8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>.666/1993.</w:t>
      </w:r>
    </w:p>
    <w:p w:rsidR="00484656" w:rsidRPr="00484656" w:rsidRDefault="00484656" w:rsidP="00484975">
      <w:pPr>
        <w:spacing w:after="0" w:line="360" w:lineRule="auto"/>
        <w:ind w:left="2268"/>
        <w:jc w:val="both"/>
        <w:rPr>
          <w:rFonts w:eastAsia="Times New Roman" w:cs="Arial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t>9. Finalmente, destaco que o simples fato de haverem sido habilitadas no certame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quinze empresas já é suficiente para demonstrar que as regras inseridas no instrumento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convocatório, ao contrário do alegado pela representante, não ferem nem a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 xml:space="preserve"> </w:t>
      </w:r>
      <w:r w:rsidRPr="00484656">
        <w:rPr>
          <w:rFonts w:eastAsia="Times New Roman" w:cs="Arial"/>
          <w:sz w:val="20"/>
          <w:szCs w:val="20"/>
          <w:lang w:eastAsia="pt-BR"/>
        </w:rPr>
        <w:t>competitividade da licitação, nem a i</w:t>
      </w:r>
      <w:r w:rsidR="001C731C" w:rsidRPr="00407ABC">
        <w:rPr>
          <w:rFonts w:eastAsia="Times New Roman" w:cs="Arial"/>
          <w:sz w:val="20"/>
          <w:szCs w:val="20"/>
          <w:lang w:eastAsia="pt-BR"/>
        </w:rPr>
        <w:t>sonomia entre os interessados.</w:t>
      </w:r>
      <w:proofErr w:type="gramStart"/>
      <w:r w:rsidR="001C731C" w:rsidRPr="00407ABC">
        <w:rPr>
          <w:rFonts w:eastAsia="Times New Roman" w:cs="Arial"/>
          <w:sz w:val="20"/>
          <w:szCs w:val="20"/>
          <w:lang w:eastAsia="pt-BR"/>
        </w:rPr>
        <w:t>”</w:t>
      </w:r>
      <w:proofErr w:type="gramEnd"/>
    </w:p>
    <w:p w:rsidR="001C731C" w:rsidRPr="00407ABC" w:rsidRDefault="001C731C" w:rsidP="00407ABC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484656" w:rsidRPr="00484656" w:rsidRDefault="00484656" w:rsidP="00472D3B">
      <w:pPr>
        <w:spacing w:after="0" w:line="360" w:lineRule="auto"/>
        <w:ind w:firstLine="708"/>
        <w:jc w:val="both"/>
        <w:rPr>
          <w:rFonts w:eastAsia="Times New Roman" w:cs="Times New Roman"/>
          <w:sz w:val="20"/>
          <w:szCs w:val="20"/>
          <w:lang w:eastAsia="pt-BR"/>
        </w:rPr>
      </w:pPr>
      <w:r w:rsidRPr="00484656">
        <w:rPr>
          <w:rFonts w:eastAsia="Times New Roman" w:cs="Arial"/>
          <w:sz w:val="20"/>
          <w:szCs w:val="20"/>
          <w:lang w:eastAsia="pt-BR"/>
        </w:rPr>
        <w:lastRenderedPageBreak/>
        <w:t>Ressalto</w:t>
      </w:r>
      <w:r w:rsidR="00151BA8">
        <w:rPr>
          <w:rFonts w:eastAsia="Times New Roman" w:cs="Arial"/>
          <w:sz w:val="20"/>
          <w:szCs w:val="20"/>
          <w:lang w:eastAsia="pt-BR"/>
        </w:rPr>
        <w:t xml:space="preserve"> ainda que conforme previsto na legislação mencionada</w:t>
      </w:r>
      <w:r w:rsidRPr="00484656">
        <w:rPr>
          <w:rFonts w:eastAsia="Times New Roman" w:cs="Arial"/>
          <w:sz w:val="20"/>
          <w:szCs w:val="20"/>
          <w:lang w:eastAsia="pt-BR"/>
        </w:rPr>
        <w:t>, p</w:t>
      </w:r>
      <w:r w:rsidRPr="00484656">
        <w:rPr>
          <w:rFonts w:eastAsia="Times New Roman" w:cs="Times New Roman"/>
          <w:sz w:val="20"/>
          <w:szCs w:val="20"/>
          <w:lang w:eastAsia="pt-BR"/>
        </w:rPr>
        <w:t>ara a comprovação da experiência</w:t>
      </w:r>
      <w:r w:rsidR="001C731C" w:rsidRPr="00407ABC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Pr="00484656">
        <w:rPr>
          <w:rFonts w:eastAsia="Times New Roman" w:cs="Times New Roman"/>
          <w:sz w:val="20"/>
          <w:szCs w:val="20"/>
          <w:lang w:eastAsia="pt-BR"/>
        </w:rPr>
        <w:t xml:space="preserve">mínima de </w:t>
      </w:r>
      <w:proofErr w:type="gramStart"/>
      <w:r w:rsidRPr="00484656">
        <w:rPr>
          <w:rFonts w:eastAsia="Times New Roman" w:cs="Times New Roman"/>
          <w:sz w:val="20"/>
          <w:szCs w:val="20"/>
          <w:lang w:eastAsia="pt-BR"/>
        </w:rPr>
        <w:t>3</w:t>
      </w:r>
      <w:proofErr w:type="gramEnd"/>
      <w:r w:rsidRPr="00484656">
        <w:rPr>
          <w:rFonts w:eastAsia="Times New Roman" w:cs="Times New Roman"/>
          <w:sz w:val="20"/>
          <w:szCs w:val="20"/>
          <w:lang w:eastAsia="pt-BR"/>
        </w:rPr>
        <w:t xml:space="preserve"> (três) anos, será aceito o somatório de atestados de períodos diferentes, sendo os períodos</w:t>
      </w:r>
      <w:r w:rsidR="001C731C" w:rsidRPr="00407ABC">
        <w:rPr>
          <w:rFonts w:eastAsia="Times New Roman" w:cs="Times New Roman"/>
          <w:sz w:val="20"/>
          <w:szCs w:val="20"/>
          <w:lang w:eastAsia="pt-BR"/>
        </w:rPr>
        <w:t xml:space="preserve"> </w:t>
      </w:r>
      <w:r w:rsidRPr="00484656">
        <w:rPr>
          <w:rFonts w:eastAsia="Times New Roman" w:cs="Times New Roman"/>
          <w:sz w:val="20"/>
          <w:szCs w:val="20"/>
          <w:lang w:eastAsia="pt-BR"/>
        </w:rPr>
        <w:t>concomitantes computados uma única vez.</w:t>
      </w:r>
    </w:p>
    <w:p w:rsidR="00484656" w:rsidRDefault="00484656" w:rsidP="00407ABC">
      <w:pPr>
        <w:spacing w:after="0" w:line="360" w:lineRule="auto"/>
        <w:jc w:val="both"/>
        <w:rPr>
          <w:sz w:val="20"/>
          <w:szCs w:val="20"/>
        </w:rPr>
      </w:pPr>
    </w:p>
    <w:p w:rsidR="00151BA8" w:rsidRPr="00407ABC" w:rsidRDefault="00151BA8" w:rsidP="00151BA8">
      <w:pPr>
        <w:tabs>
          <w:tab w:val="left" w:pos="-2700"/>
          <w:tab w:val="left" w:pos="-2303"/>
          <w:tab w:val="left" w:pos="-900"/>
          <w:tab w:val="left" w:pos="525"/>
          <w:tab w:val="left" w:pos="141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center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407ABC">
        <w:rPr>
          <w:rFonts w:eastAsia="Courier New" w:cs="Courier New"/>
          <w:b/>
          <w:bCs/>
          <w:color w:val="010101"/>
          <w:sz w:val="20"/>
          <w:szCs w:val="20"/>
        </w:rPr>
        <w:t xml:space="preserve">IV – </w:t>
      </w:r>
      <w:r w:rsidRPr="00407ABC">
        <w:rPr>
          <w:rFonts w:eastAsia="Courier New" w:cs="Courier New"/>
          <w:b/>
          <w:bCs/>
          <w:color w:val="010101"/>
          <w:sz w:val="20"/>
          <w:szCs w:val="20"/>
          <w:u w:val="single"/>
        </w:rPr>
        <w:t>CONCLUSÃO</w:t>
      </w:r>
    </w:p>
    <w:p w:rsidR="00151BA8" w:rsidRPr="00407ABC" w:rsidRDefault="00151BA8" w:rsidP="00407ABC">
      <w:pPr>
        <w:spacing w:after="0" w:line="360" w:lineRule="auto"/>
        <w:jc w:val="both"/>
        <w:rPr>
          <w:sz w:val="20"/>
          <w:szCs w:val="20"/>
        </w:rPr>
      </w:pPr>
    </w:p>
    <w:p w:rsidR="00484656" w:rsidRPr="00407ABC" w:rsidRDefault="00484656" w:rsidP="00472D3B">
      <w:pPr>
        <w:spacing w:after="0" w:line="360" w:lineRule="auto"/>
        <w:ind w:firstLine="708"/>
        <w:jc w:val="both"/>
        <w:rPr>
          <w:sz w:val="20"/>
          <w:szCs w:val="20"/>
        </w:rPr>
      </w:pPr>
      <w:r w:rsidRPr="00407ABC">
        <w:rPr>
          <w:sz w:val="20"/>
          <w:szCs w:val="20"/>
        </w:rPr>
        <w:t>Diante de todo o exposto, após a análise dos pontos questionados pela empresa requerente, decido pelo INDEFERIMENTO da solicitação de impugnação efetuada, considerando que o Edital está de acordo com a legislação vigente, não contendo itens a serem retificados.</w:t>
      </w:r>
    </w:p>
    <w:p w:rsidR="001C731C" w:rsidRPr="00407ABC" w:rsidRDefault="001C731C" w:rsidP="00407ABC">
      <w:pPr>
        <w:spacing w:after="0" w:line="360" w:lineRule="auto"/>
        <w:jc w:val="right"/>
        <w:rPr>
          <w:sz w:val="20"/>
          <w:szCs w:val="20"/>
        </w:rPr>
      </w:pPr>
    </w:p>
    <w:p w:rsidR="00484656" w:rsidRDefault="004B6057" w:rsidP="00407ABC">
      <w:pPr>
        <w:spacing w:after="0" w:line="360" w:lineRule="auto"/>
        <w:jc w:val="right"/>
        <w:rPr>
          <w:sz w:val="20"/>
          <w:szCs w:val="20"/>
        </w:rPr>
      </w:pPr>
      <w:r w:rsidRPr="00407ABC">
        <w:rPr>
          <w:sz w:val="20"/>
          <w:szCs w:val="20"/>
        </w:rPr>
        <w:t>Porto Alegre/RS, 31 de março de 2016.</w:t>
      </w:r>
    </w:p>
    <w:p w:rsidR="00084065" w:rsidRDefault="00084065" w:rsidP="00084065">
      <w:pPr>
        <w:spacing w:after="0" w:line="360" w:lineRule="auto"/>
        <w:jc w:val="center"/>
        <w:rPr>
          <w:sz w:val="20"/>
          <w:szCs w:val="20"/>
        </w:rPr>
      </w:pPr>
    </w:p>
    <w:p w:rsidR="00472D3B" w:rsidRDefault="00472D3B" w:rsidP="00084065">
      <w:pPr>
        <w:spacing w:after="0" w:line="360" w:lineRule="auto"/>
        <w:jc w:val="center"/>
        <w:rPr>
          <w:sz w:val="20"/>
          <w:szCs w:val="20"/>
        </w:rPr>
      </w:pPr>
    </w:p>
    <w:p w:rsidR="00084065" w:rsidRDefault="00084065" w:rsidP="00084065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Thiago Albrecht</w:t>
      </w:r>
    </w:p>
    <w:p w:rsidR="00084065" w:rsidRPr="00407ABC" w:rsidRDefault="00084065" w:rsidP="00084065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Pregoeiro PE 04/2016</w:t>
      </w:r>
      <w:bookmarkEnd w:id="0"/>
    </w:p>
    <w:sectPr w:rsidR="00084065" w:rsidRPr="00407ABC" w:rsidSect="00B1229C">
      <w:headerReference w:type="default" r:id="rId7"/>
      <w:pgSz w:w="11906" w:h="16838"/>
      <w:pgMar w:top="1564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34" w:rsidRDefault="00A60B34" w:rsidP="00407ABC">
      <w:pPr>
        <w:spacing w:after="0" w:line="240" w:lineRule="auto"/>
      </w:pPr>
      <w:r>
        <w:separator/>
      </w:r>
    </w:p>
  </w:endnote>
  <w:endnote w:type="continuationSeparator" w:id="0">
    <w:p w:rsidR="00A60B34" w:rsidRDefault="00A60B34" w:rsidP="004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34" w:rsidRDefault="00A60B34" w:rsidP="00407ABC">
      <w:pPr>
        <w:spacing w:after="0" w:line="240" w:lineRule="auto"/>
      </w:pPr>
      <w:r>
        <w:separator/>
      </w:r>
    </w:p>
  </w:footnote>
  <w:footnote w:type="continuationSeparator" w:id="0">
    <w:p w:rsidR="00A60B34" w:rsidRDefault="00A60B34" w:rsidP="0040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BC" w:rsidRPr="00407ABC" w:rsidRDefault="00407ABC" w:rsidP="00407ABC">
    <w:pPr>
      <w:pStyle w:val="Cabealho"/>
      <w:jc w:val="center"/>
      <w:rPr>
        <w:sz w:val="24"/>
        <w:szCs w:val="24"/>
      </w:rPr>
    </w:pPr>
    <w:r w:rsidRPr="00407ABC">
      <w:rPr>
        <w:sz w:val="24"/>
        <w:szCs w:val="24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05pt;height:47.8pt" o:ole="" fillcolor="window">
          <v:imagedata r:id="rId1" o:title=""/>
        </v:shape>
        <o:OLEObject Type="Embed" ProgID="MSDraw" ShapeID="_x0000_i1025" DrawAspect="Content" ObjectID="_1520945857" r:id="rId2">
          <o:FieldCodes>\* LOWER</o:FieldCodes>
        </o:OLEObject>
      </w:objec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SERVIÇO PÚBLICO FEDERAL</w: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CONSELHO DE ARQUITETURA E URBANISMO DO RIO GRANDE DO SUL</w:t>
    </w:r>
  </w:p>
  <w:p w:rsidR="00407ABC" w:rsidRPr="00407ABC" w:rsidRDefault="00407ABC" w:rsidP="00407ABC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78"/>
    <w:rsid w:val="00084065"/>
    <w:rsid w:val="00126CB2"/>
    <w:rsid w:val="00151BA8"/>
    <w:rsid w:val="001C731C"/>
    <w:rsid w:val="00325733"/>
    <w:rsid w:val="00407ABC"/>
    <w:rsid w:val="00472D3B"/>
    <w:rsid w:val="00484656"/>
    <w:rsid w:val="00484975"/>
    <w:rsid w:val="004B6057"/>
    <w:rsid w:val="006720ED"/>
    <w:rsid w:val="006B68EB"/>
    <w:rsid w:val="00721C0A"/>
    <w:rsid w:val="00A60B34"/>
    <w:rsid w:val="00B1229C"/>
    <w:rsid w:val="00BA7D61"/>
    <w:rsid w:val="00BC534D"/>
    <w:rsid w:val="00D2283B"/>
    <w:rsid w:val="00D42701"/>
    <w:rsid w:val="00E80D19"/>
    <w:rsid w:val="00E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111111">
    <w:name w:val="WW-Absatz-Standardschriftart111111"/>
    <w:rsid w:val="00407ABC"/>
  </w:style>
  <w:style w:type="character" w:customStyle="1" w:styleId="WW-Absatz-Standardschriftart111111111111111111111111">
    <w:name w:val="WW-Absatz-Standardschriftart111111111111111111111111"/>
    <w:rsid w:val="00407ABC"/>
  </w:style>
  <w:style w:type="character" w:customStyle="1" w:styleId="WW-Absatz-Standardschriftart11111111111111111111111111111111">
    <w:name w:val="WW-Absatz-Standardschriftart11111111111111111111111111111111"/>
    <w:rsid w:val="00407ABC"/>
  </w:style>
  <w:style w:type="paragraph" w:customStyle="1" w:styleId="Normal1">
    <w:name w:val="Normal1"/>
    <w:rsid w:val="00407A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Cabeçalho superior,Heading 1a"/>
    <w:basedOn w:val="Normal"/>
    <w:link w:val="CabealhoChar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07ABC"/>
  </w:style>
  <w:style w:type="paragraph" w:styleId="Rodap">
    <w:name w:val="footer"/>
    <w:basedOn w:val="Normal"/>
    <w:link w:val="RodapChar"/>
    <w:uiPriority w:val="99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111111">
    <w:name w:val="WW-Absatz-Standardschriftart111111"/>
    <w:rsid w:val="00407ABC"/>
  </w:style>
  <w:style w:type="character" w:customStyle="1" w:styleId="WW-Absatz-Standardschriftart111111111111111111111111">
    <w:name w:val="WW-Absatz-Standardschriftart111111111111111111111111"/>
    <w:rsid w:val="00407ABC"/>
  </w:style>
  <w:style w:type="character" w:customStyle="1" w:styleId="WW-Absatz-Standardschriftart11111111111111111111111111111111">
    <w:name w:val="WW-Absatz-Standardschriftart11111111111111111111111111111111"/>
    <w:rsid w:val="00407ABC"/>
  </w:style>
  <w:style w:type="paragraph" w:customStyle="1" w:styleId="Normal1">
    <w:name w:val="Normal1"/>
    <w:rsid w:val="00407A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Cabeçalho superior,Heading 1a"/>
    <w:basedOn w:val="Normal"/>
    <w:link w:val="CabealhoChar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07ABC"/>
  </w:style>
  <w:style w:type="paragraph" w:styleId="Rodap">
    <w:name w:val="footer"/>
    <w:basedOn w:val="Normal"/>
    <w:link w:val="RodapChar"/>
    <w:uiPriority w:val="99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1542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cp:lastPrinted>2016-03-31T19:11:00Z</cp:lastPrinted>
  <dcterms:created xsi:type="dcterms:W3CDTF">2016-03-31T13:29:00Z</dcterms:created>
  <dcterms:modified xsi:type="dcterms:W3CDTF">2016-03-31T19:11:00Z</dcterms:modified>
</cp:coreProperties>
</file>